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175A1" w14:textId="77777777" w:rsidR="00EC491C" w:rsidRDefault="00EC491C" w:rsidP="00EC491C">
      <w:pPr>
        <w:outlineLvl w:val="0"/>
        <w:rPr>
          <w:rFonts w:ascii="Arial" w:hAnsi="Arial" w:cs="Arial"/>
          <w:b/>
          <w:bCs/>
          <w:sz w:val="24"/>
          <w:szCs w:val="24"/>
          <w:lang w:val="en-US" w:eastAsia="en-GB"/>
          <w14:ligatures w14:val="none"/>
        </w:rPr>
      </w:pPr>
    </w:p>
    <w:p w14:paraId="6C0AB4AC" w14:textId="77777777" w:rsidR="00EC491C" w:rsidRDefault="00EC491C" w:rsidP="00EC491C">
      <w:pPr>
        <w:outlineLvl w:val="0"/>
        <w:rPr>
          <w:rFonts w:ascii="Arial" w:hAnsi="Arial" w:cs="Arial"/>
          <w:b/>
          <w:bCs/>
          <w:sz w:val="24"/>
          <w:szCs w:val="24"/>
          <w:lang w:val="en-US" w:eastAsia="en-GB"/>
          <w14:ligatures w14:val="none"/>
        </w:rPr>
      </w:pPr>
    </w:p>
    <w:p w14:paraId="1A0ED7E2" w14:textId="503A6A3E" w:rsidR="00EC491C" w:rsidRPr="00EC491C" w:rsidRDefault="00EC491C" w:rsidP="00EC491C">
      <w:pPr>
        <w:outlineLvl w:val="0"/>
        <w:rPr>
          <w:rFonts w:ascii="Arial" w:hAnsi="Arial" w:cs="Arial"/>
          <w:b/>
          <w:bCs/>
          <w:sz w:val="24"/>
          <w:szCs w:val="24"/>
          <w:lang w:val="en-US" w:eastAsia="en-GB"/>
          <w14:ligatures w14:val="none"/>
        </w:rPr>
      </w:pPr>
      <w:r w:rsidRPr="00EC491C">
        <w:rPr>
          <w:rFonts w:ascii="Arial" w:hAnsi="Arial" w:cs="Arial"/>
          <w:b/>
          <w:bCs/>
          <w:sz w:val="24"/>
          <w:szCs w:val="24"/>
          <w:lang w:val="en-US" w:eastAsia="en-GB"/>
          <w14:ligatures w14:val="none"/>
        </w:rPr>
        <w:t>APP/E2205/W/24/3345454: Land north of Possingham Farmhouse, TN26 3BQ</w:t>
      </w:r>
    </w:p>
    <w:p w14:paraId="2F0C6C36" w14:textId="6102FA65" w:rsidR="006A1E3C" w:rsidRDefault="006A1E3C">
      <w:pPr>
        <w:rPr>
          <w:lang w:val="en-US"/>
        </w:rPr>
      </w:pPr>
    </w:p>
    <w:p w14:paraId="6F527E86" w14:textId="77777777" w:rsidR="00963174" w:rsidRDefault="00963174">
      <w:pPr>
        <w:rPr>
          <w:rFonts w:ascii="Arial" w:hAnsi="Arial" w:cs="Arial"/>
          <w:sz w:val="24"/>
          <w:szCs w:val="24"/>
          <w:lang w:val="en-US"/>
        </w:rPr>
      </w:pPr>
    </w:p>
    <w:p w14:paraId="2B559722" w14:textId="77777777" w:rsidR="00963174" w:rsidRDefault="00963174">
      <w:pPr>
        <w:rPr>
          <w:rFonts w:ascii="Arial" w:hAnsi="Arial" w:cs="Arial"/>
          <w:sz w:val="24"/>
          <w:szCs w:val="24"/>
          <w:lang w:val="en-US"/>
        </w:rPr>
      </w:pPr>
    </w:p>
    <w:p w14:paraId="3DEFD616" w14:textId="4ACCBC03" w:rsidR="00EC491C" w:rsidRPr="00963174" w:rsidRDefault="00EC491C" w:rsidP="00963174">
      <w:pPr>
        <w:jc w:val="center"/>
        <w:rPr>
          <w:rFonts w:ascii="Arial" w:hAnsi="Arial" w:cs="Arial"/>
          <w:sz w:val="24"/>
          <w:szCs w:val="24"/>
          <w:u w:val="single"/>
          <w:lang w:val="en-US"/>
        </w:rPr>
      </w:pPr>
      <w:r w:rsidRPr="00963174">
        <w:rPr>
          <w:rFonts w:ascii="Arial" w:hAnsi="Arial" w:cs="Arial"/>
          <w:sz w:val="24"/>
          <w:szCs w:val="24"/>
          <w:u w:val="single"/>
          <w:lang w:val="en-US"/>
        </w:rPr>
        <w:t>Education contributions – justification</w:t>
      </w:r>
    </w:p>
    <w:p w14:paraId="683C23B7" w14:textId="77777777" w:rsidR="00EC491C" w:rsidRPr="00EC491C" w:rsidRDefault="00EC491C">
      <w:pPr>
        <w:rPr>
          <w:rFonts w:ascii="Arial" w:hAnsi="Arial" w:cs="Arial"/>
          <w:sz w:val="24"/>
          <w:szCs w:val="24"/>
          <w:lang w:val="en-US"/>
        </w:rPr>
      </w:pPr>
    </w:p>
    <w:p w14:paraId="76E9685D" w14:textId="77777777" w:rsidR="00963174" w:rsidRDefault="00963174" w:rsidP="00EC491C">
      <w:pPr>
        <w:rPr>
          <w:rFonts w:ascii="Arial" w:hAnsi="Arial" w:cs="Arial"/>
          <w:sz w:val="24"/>
          <w:szCs w:val="24"/>
          <w:lang w:val="en-US"/>
        </w:rPr>
      </w:pPr>
    </w:p>
    <w:p w14:paraId="26DB788C" w14:textId="0D93B73D" w:rsidR="00EC491C" w:rsidRPr="00EC491C" w:rsidRDefault="00EC491C" w:rsidP="00EC491C">
      <w:pPr>
        <w:rPr>
          <w:rFonts w:ascii="Arial" w:eastAsia="Times New Roman" w:hAnsi="Arial" w:cs="Arial"/>
          <w:color w:val="000000"/>
          <w:sz w:val="24"/>
          <w:szCs w:val="24"/>
        </w:rPr>
      </w:pPr>
      <w:r w:rsidRPr="00EC491C">
        <w:rPr>
          <w:rFonts w:ascii="Arial" w:hAnsi="Arial" w:cs="Arial"/>
          <w:sz w:val="24"/>
          <w:szCs w:val="24"/>
          <w:lang w:val="en-US"/>
        </w:rPr>
        <w:t xml:space="preserve">Provided to Ben Hunter, </w:t>
      </w:r>
      <w:r w:rsidRPr="00EC491C">
        <w:rPr>
          <w:rFonts w:ascii="Arial" w:eastAsia="Times New Roman" w:hAnsi="Arial" w:cs="Arial"/>
          <w:color w:val="000000"/>
          <w:sz w:val="24"/>
          <w:szCs w:val="24"/>
        </w:rPr>
        <w:t>Associate Director - Education and Social Infrastructure</w:t>
      </w:r>
    </w:p>
    <w:p w14:paraId="33BCBBD3" w14:textId="6F7B0253" w:rsidR="00EC491C" w:rsidRPr="00EC491C" w:rsidRDefault="00EC491C" w:rsidP="00EC491C">
      <w:pPr>
        <w:rPr>
          <w:rFonts w:ascii="Arial" w:eastAsia="Times New Roman" w:hAnsi="Arial" w:cs="Arial"/>
          <w:color w:val="000000"/>
          <w:sz w:val="24"/>
          <w:szCs w:val="24"/>
        </w:rPr>
      </w:pPr>
      <w:r w:rsidRPr="00EC491C">
        <w:rPr>
          <w:rFonts w:ascii="Arial" w:eastAsia="Times New Roman" w:hAnsi="Arial" w:cs="Arial"/>
          <w:color w:val="000000"/>
          <w:sz w:val="24"/>
          <w:szCs w:val="24"/>
        </w:rPr>
        <w:t>EFM (Educational Facilities Management Partnership Ltd)</w:t>
      </w:r>
      <w:r w:rsidRPr="00EC491C">
        <w:rPr>
          <w:rFonts w:ascii="Arial" w:eastAsia="Times New Roman" w:hAnsi="Arial" w:cs="Arial"/>
          <w:color w:val="000000"/>
          <w:sz w:val="24"/>
          <w:szCs w:val="24"/>
        </w:rPr>
        <w:br/>
      </w:r>
    </w:p>
    <w:p w14:paraId="0C1E63D0" w14:textId="77777777" w:rsidR="00EC491C" w:rsidRPr="00EC491C" w:rsidRDefault="00EC491C" w:rsidP="00EC491C">
      <w:pPr>
        <w:rPr>
          <w:rFonts w:ascii="Arial" w:eastAsia="Times New Roman" w:hAnsi="Arial" w:cs="Arial"/>
          <w:color w:val="000000"/>
          <w:sz w:val="24"/>
          <w:szCs w:val="24"/>
        </w:rPr>
      </w:pPr>
    </w:p>
    <w:p w14:paraId="50388AB4" w14:textId="7CC80640" w:rsidR="00EC491C" w:rsidRDefault="00EC491C" w:rsidP="00EC491C">
      <w:pPr>
        <w:rPr>
          <w:rFonts w:ascii="Arial" w:eastAsia="Times New Roman" w:hAnsi="Arial" w:cs="Arial"/>
          <w:color w:val="000000"/>
          <w:sz w:val="24"/>
          <w:szCs w:val="24"/>
        </w:rPr>
      </w:pPr>
      <w:r w:rsidRPr="00EC491C">
        <w:rPr>
          <w:rFonts w:ascii="Arial" w:eastAsia="Times New Roman" w:hAnsi="Arial" w:cs="Arial"/>
          <w:color w:val="000000"/>
          <w:sz w:val="24"/>
          <w:szCs w:val="24"/>
        </w:rPr>
        <w:t>By David Adams, Assistant Director Education (South Kent), Kent County Council</w:t>
      </w:r>
    </w:p>
    <w:p w14:paraId="7F8BA055" w14:textId="77777777" w:rsidR="00EC491C" w:rsidRDefault="00EC491C" w:rsidP="00EC491C">
      <w:pPr>
        <w:rPr>
          <w:rFonts w:ascii="Arial" w:eastAsia="Times New Roman" w:hAnsi="Arial" w:cs="Arial"/>
          <w:color w:val="000000"/>
          <w:sz w:val="24"/>
          <w:szCs w:val="24"/>
        </w:rPr>
      </w:pPr>
    </w:p>
    <w:p w14:paraId="5E7D68DB" w14:textId="77777777" w:rsidR="00EC491C" w:rsidRDefault="00EC491C" w:rsidP="00EC491C">
      <w:pPr>
        <w:rPr>
          <w:rFonts w:ascii="Arial" w:eastAsia="Times New Roman" w:hAnsi="Arial" w:cs="Arial"/>
          <w:color w:val="000000"/>
          <w:sz w:val="24"/>
          <w:szCs w:val="24"/>
        </w:rPr>
      </w:pPr>
    </w:p>
    <w:p w14:paraId="223F6B9D" w14:textId="398F4666" w:rsidR="00EC491C" w:rsidRDefault="00A322F8" w:rsidP="00EC491C">
      <w:pPr>
        <w:rPr>
          <w:rFonts w:ascii="Arial" w:eastAsia="Times New Roman" w:hAnsi="Arial" w:cs="Arial"/>
          <w:color w:val="000000"/>
          <w:sz w:val="24"/>
          <w:szCs w:val="24"/>
        </w:rPr>
      </w:pPr>
      <w:r>
        <w:rPr>
          <w:rFonts w:ascii="Arial" w:eastAsia="Times New Roman" w:hAnsi="Arial" w:cs="Arial"/>
          <w:color w:val="000000"/>
          <w:sz w:val="24"/>
          <w:szCs w:val="24"/>
        </w:rPr>
        <w:t>9</w:t>
      </w:r>
      <w:r w:rsidR="00EC491C">
        <w:rPr>
          <w:rFonts w:ascii="Arial" w:eastAsia="Times New Roman" w:hAnsi="Arial" w:cs="Arial"/>
          <w:color w:val="000000"/>
          <w:sz w:val="24"/>
          <w:szCs w:val="24"/>
        </w:rPr>
        <w:t xml:space="preserve"> August 2024</w:t>
      </w:r>
    </w:p>
    <w:p w14:paraId="03D0F18C" w14:textId="77777777" w:rsidR="00EC491C" w:rsidRDefault="00EC491C" w:rsidP="00EC491C">
      <w:pPr>
        <w:rPr>
          <w:rFonts w:ascii="Arial" w:eastAsia="Times New Roman" w:hAnsi="Arial" w:cs="Arial"/>
          <w:color w:val="000000"/>
          <w:sz w:val="24"/>
          <w:szCs w:val="24"/>
        </w:rPr>
      </w:pPr>
    </w:p>
    <w:p w14:paraId="03E25DEA" w14:textId="704C5D0F" w:rsidR="00EC491C" w:rsidRDefault="00EC491C" w:rsidP="00EC491C">
      <w:pPr>
        <w:rPr>
          <w:rFonts w:ascii="Arial" w:hAnsi="Arial" w:cs="Arial"/>
          <w:sz w:val="24"/>
          <w:szCs w:val="24"/>
          <w:lang w:val="en-US"/>
        </w:rPr>
      </w:pPr>
    </w:p>
    <w:p w14:paraId="3C9B0E9C" w14:textId="77777777" w:rsidR="00EC491C" w:rsidRDefault="00EC491C">
      <w:pPr>
        <w:spacing w:after="160" w:line="278" w:lineRule="auto"/>
        <w:rPr>
          <w:rFonts w:ascii="Arial" w:hAnsi="Arial" w:cs="Arial"/>
          <w:sz w:val="24"/>
          <w:szCs w:val="24"/>
          <w:lang w:val="en-US"/>
        </w:rPr>
      </w:pPr>
      <w:r>
        <w:rPr>
          <w:rFonts w:ascii="Arial" w:hAnsi="Arial" w:cs="Arial"/>
          <w:sz w:val="24"/>
          <w:szCs w:val="24"/>
          <w:lang w:val="en-US"/>
        </w:rPr>
        <w:br w:type="page"/>
      </w:r>
    </w:p>
    <w:p w14:paraId="6C4B2772" w14:textId="00F15510" w:rsidR="004573FD" w:rsidRDefault="004573FD" w:rsidP="00EC491C">
      <w:pPr>
        <w:rPr>
          <w:rFonts w:ascii="Arial" w:hAnsi="Arial" w:cs="Arial"/>
          <w:sz w:val="24"/>
          <w:szCs w:val="24"/>
          <w:lang w:val="en-US"/>
        </w:rPr>
      </w:pPr>
      <w:r>
        <w:rPr>
          <w:rFonts w:ascii="Arial" w:hAnsi="Arial" w:cs="Arial"/>
          <w:b/>
          <w:bCs/>
          <w:sz w:val="24"/>
          <w:szCs w:val="24"/>
          <w:lang w:val="en-US"/>
        </w:rPr>
        <w:lastRenderedPageBreak/>
        <w:t>Introduction and scope of this justification</w:t>
      </w:r>
    </w:p>
    <w:p w14:paraId="00A3A4C7" w14:textId="77777777" w:rsidR="004573FD" w:rsidRDefault="004573FD" w:rsidP="00EC491C">
      <w:pPr>
        <w:rPr>
          <w:rFonts w:ascii="Arial" w:hAnsi="Arial" w:cs="Arial"/>
          <w:sz w:val="24"/>
          <w:szCs w:val="24"/>
          <w:lang w:val="en-US"/>
        </w:rPr>
      </w:pPr>
    </w:p>
    <w:p w14:paraId="749CFB3D" w14:textId="2BEB67A9" w:rsidR="004573FD" w:rsidRDefault="004573FD" w:rsidP="00EC491C">
      <w:pPr>
        <w:rPr>
          <w:rFonts w:ascii="Arial" w:hAnsi="Arial" w:cs="Arial"/>
          <w:sz w:val="24"/>
          <w:szCs w:val="24"/>
          <w:lang w:val="en-US"/>
        </w:rPr>
      </w:pPr>
      <w:r>
        <w:rPr>
          <w:rFonts w:ascii="Arial" w:hAnsi="Arial" w:cs="Arial"/>
          <w:sz w:val="24"/>
          <w:szCs w:val="24"/>
          <w:lang w:val="en-US"/>
        </w:rPr>
        <w:t>KCC met with representatives of Hodson Developments, EFM, and DHA on 25 July 2024, via Teams, to discuss the education contributions being sought.  KCC agreed</w:t>
      </w:r>
      <w:r w:rsidR="0058696F">
        <w:rPr>
          <w:rFonts w:ascii="Arial" w:hAnsi="Arial" w:cs="Arial"/>
          <w:sz w:val="24"/>
          <w:szCs w:val="24"/>
          <w:lang w:val="en-US"/>
        </w:rPr>
        <w:t xml:space="preserve"> in this </w:t>
      </w:r>
      <w:r>
        <w:rPr>
          <w:rFonts w:ascii="Arial" w:hAnsi="Arial" w:cs="Arial"/>
          <w:sz w:val="24"/>
          <w:szCs w:val="24"/>
          <w:lang w:val="en-US"/>
        </w:rPr>
        <w:t xml:space="preserve">meeting, and a subsequent conversation with EFM to correct a mis-statement </w:t>
      </w:r>
      <w:r w:rsidR="00DE6F53">
        <w:rPr>
          <w:rFonts w:ascii="Arial" w:hAnsi="Arial" w:cs="Arial"/>
          <w:sz w:val="24"/>
          <w:szCs w:val="24"/>
          <w:lang w:val="en-US"/>
        </w:rPr>
        <w:t xml:space="preserve">made </w:t>
      </w:r>
      <w:r>
        <w:rPr>
          <w:rFonts w:ascii="Arial" w:hAnsi="Arial" w:cs="Arial"/>
          <w:sz w:val="24"/>
          <w:szCs w:val="24"/>
          <w:lang w:val="en-US"/>
        </w:rPr>
        <w:t>in the meeting by myself</w:t>
      </w:r>
      <w:r w:rsidR="0058696F">
        <w:rPr>
          <w:rFonts w:ascii="Arial" w:hAnsi="Arial" w:cs="Arial"/>
          <w:sz w:val="24"/>
          <w:szCs w:val="24"/>
          <w:lang w:val="en-US"/>
        </w:rPr>
        <w:t>, that it would provide justification for:</w:t>
      </w:r>
    </w:p>
    <w:p w14:paraId="21C0E680" w14:textId="77777777" w:rsidR="0058696F" w:rsidRDefault="0058696F" w:rsidP="00EC491C">
      <w:pPr>
        <w:rPr>
          <w:rFonts w:ascii="Arial" w:hAnsi="Arial" w:cs="Arial"/>
          <w:sz w:val="24"/>
          <w:szCs w:val="24"/>
          <w:lang w:val="en-US"/>
        </w:rPr>
      </w:pPr>
    </w:p>
    <w:p w14:paraId="2F7FAADA" w14:textId="7F32EEDF" w:rsidR="0058696F" w:rsidRDefault="0058696F" w:rsidP="0058696F">
      <w:pPr>
        <w:pStyle w:val="ListParagraph"/>
        <w:numPr>
          <w:ilvl w:val="0"/>
          <w:numId w:val="2"/>
        </w:numPr>
        <w:rPr>
          <w:rFonts w:ascii="Arial" w:hAnsi="Arial" w:cs="Arial"/>
          <w:lang w:val="en-US"/>
        </w:rPr>
      </w:pPr>
      <w:r>
        <w:rPr>
          <w:rFonts w:ascii="Arial" w:hAnsi="Arial" w:cs="Arial"/>
          <w:lang w:val="en-US"/>
        </w:rPr>
        <w:t>Secondary school contributions</w:t>
      </w:r>
    </w:p>
    <w:p w14:paraId="6B4CF84B" w14:textId="20247248" w:rsidR="0058696F" w:rsidRPr="00F343EA" w:rsidRDefault="0058696F" w:rsidP="0058696F">
      <w:pPr>
        <w:pStyle w:val="ListParagraph"/>
        <w:numPr>
          <w:ilvl w:val="0"/>
          <w:numId w:val="2"/>
        </w:numPr>
        <w:rPr>
          <w:rFonts w:ascii="Arial" w:hAnsi="Arial" w:cs="Arial"/>
          <w:sz w:val="24"/>
          <w:szCs w:val="24"/>
          <w:lang w:val="en-US"/>
        </w:rPr>
      </w:pPr>
      <w:r>
        <w:rPr>
          <w:rFonts w:ascii="Arial" w:hAnsi="Arial" w:cs="Arial"/>
          <w:lang w:val="en-US"/>
        </w:rPr>
        <w:t>Specialist places for pupils with SEND</w:t>
      </w:r>
    </w:p>
    <w:p w14:paraId="1C160FDD" w14:textId="77777777" w:rsidR="00F343EA" w:rsidRPr="0058696F" w:rsidRDefault="00F343EA" w:rsidP="00F343EA">
      <w:pPr>
        <w:pStyle w:val="ListParagraph"/>
        <w:rPr>
          <w:rFonts w:ascii="Arial" w:hAnsi="Arial" w:cs="Arial"/>
          <w:sz w:val="24"/>
          <w:szCs w:val="24"/>
          <w:lang w:val="en-US"/>
        </w:rPr>
      </w:pPr>
    </w:p>
    <w:p w14:paraId="0450C95D" w14:textId="3106DA36" w:rsidR="004573FD" w:rsidRPr="0058696F" w:rsidRDefault="0058696F" w:rsidP="00EC491C">
      <w:pPr>
        <w:rPr>
          <w:rFonts w:ascii="Arial" w:hAnsi="Arial" w:cs="Arial"/>
          <w:sz w:val="24"/>
          <w:szCs w:val="24"/>
          <w:lang w:val="en-US"/>
        </w:rPr>
      </w:pPr>
      <w:r w:rsidRPr="0058696F">
        <w:rPr>
          <w:rFonts w:ascii="Arial" w:hAnsi="Arial" w:cs="Arial"/>
          <w:sz w:val="24"/>
          <w:szCs w:val="24"/>
          <w:lang w:val="en-US"/>
        </w:rPr>
        <w:t>In particular, the justification for secondary school places would demonstrate how the new school capacity at Chilmington Green Secondary School (currently under construction) which is to be funded from s106 contributions from that site, was being reserved for that development.</w:t>
      </w:r>
    </w:p>
    <w:p w14:paraId="38131D1A" w14:textId="77777777" w:rsidR="0058696F" w:rsidRDefault="0058696F" w:rsidP="00EC491C">
      <w:pPr>
        <w:rPr>
          <w:rFonts w:ascii="Arial" w:hAnsi="Arial" w:cs="Arial"/>
          <w:b/>
          <w:bCs/>
          <w:sz w:val="24"/>
          <w:szCs w:val="24"/>
          <w:lang w:val="en-US"/>
        </w:rPr>
      </w:pPr>
    </w:p>
    <w:p w14:paraId="645221A7" w14:textId="77777777" w:rsidR="0058696F" w:rsidRDefault="0058696F" w:rsidP="00A86F31">
      <w:pPr>
        <w:spacing w:after="60"/>
        <w:rPr>
          <w:rFonts w:ascii="Arial" w:hAnsi="Arial" w:cs="Arial"/>
          <w:sz w:val="24"/>
          <w:szCs w:val="24"/>
          <w:lang w:val="en-US"/>
        </w:rPr>
      </w:pPr>
      <w:r>
        <w:rPr>
          <w:rFonts w:ascii="Arial" w:hAnsi="Arial" w:cs="Arial"/>
          <w:sz w:val="24"/>
          <w:szCs w:val="24"/>
          <w:lang w:val="en-US"/>
        </w:rPr>
        <w:t>It appeared from the discussion that:</w:t>
      </w:r>
    </w:p>
    <w:p w14:paraId="1659770C" w14:textId="533418FF" w:rsidR="0058696F" w:rsidRPr="004573FD" w:rsidRDefault="0058696F" w:rsidP="00A86F31">
      <w:pPr>
        <w:pStyle w:val="ListParagraph"/>
        <w:numPr>
          <w:ilvl w:val="0"/>
          <w:numId w:val="2"/>
        </w:numPr>
        <w:spacing w:after="60"/>
        <w:ind w:left="714" w:hanging="357"/>
        <w:contextualSpacing w:val="0"/>
        <w:rPr>
          <w:rFonts w:ascii="Arial" w:hAnsi="Arial" w:cs="Arial"/>
          <w:sz w:val="24"/>
          <w:szCs w:val="24"/>
          <w:lang w:val="en-US"/>
        </w:rPr>
      </w:pPr>
      <w:r>
        <w:rPr>
          <w:rFonts w:ascii="Arial" w:hAnsi="Arial" w:cs="Arial"/>
          <w:lang w:val="en-US"/>
        </w:rPr>
        <w:t xml:space="preserve">it is accepted that </w:t>
      </w:r>
      <w:r w:rsidRPr="004573FD">
        <w:rPr>
          <w:rFonts w:ascii="Arial" w:hAnsi="Arial" w:cs="Arial"/>
          <w:sz w:val="24"/>
          <w:szCs w:val="24"/>
          <w:lang w:val="en-US"/>
        </w:rPr>
        <w:t>KCC is the statutory education authority with responsibility for ensuring sufficient school places including those needed for SEND pupils</w:t>
      </w:r>
      <w:r>
        <w:rPr>
          <w:rFonts w:ascii="Arial" w:hAnsi="Arial" w:cs="Arial"/>
          <w:lang w:val="en-US"/>
        </w:rPr>
        <w:t>;</w:t>
      </w:r>
    </w:p>
    <w:p w14:paraId="0138C0FC" w14:textId="448AAD7B" w:rsidR="0058696F" w:rsidRPr="00DE6F53" w:rsidRDefault="0058696F" w:rsidP="00A86F31">
      <w:pPr>
        <w:pStyle w:val="ListParagraph"/>
        <w:numPr>
          <w:ilvl w:val="0"/>
          <w:numId w:val="2"/>
        </w:numPr>
        <w:spacing w:after="60"/>
        <w:ind w:left="714" w:hanging="357"/>
        <w:contextualSpacing w:val="0"/>
        <w:rPr>
          <w:rFonts w:ascii="Arial" w:hAnsi="Arial" w:cs="Arial"/>
          <w:sz w:val="24"/>
          <w:szCs w:val="24"/>
          <w:lang w:val="en-US"/>
        </w:rPr>
      </w:pPr>
      <w:r>
        <w:rPr>
          <w:rFonts w:ascii="Arial" w:hAnsi="Arial" w:cs="Arial"/>
          <w:lang w:val="en-US"/>
        </w:rPr>
        <w:t>a</w:t>
      </w:r>
      <w:r w:rsidRPr="004573FD">
        <w:rPr>
          <w:rFonts w:ascii="Arial" w:hAnsi="Arial" w:cs="Arial"/>
          <w:sz w:val="24"/>
          <w:szCs w:val="24"/>
          <w:lang w:val="en-US"/>
        </w:rPr>
        <w:t xml:space="preserve">ccordingly KCC is the appropriate body to seek contributions from developers where it can demonstrate the expected pupil demand from </w:t>
      </w:r>
      <w:r w:rsidRPr="00DE6F53">
        <w:rPr>
          <w:rFonts w:ascii="Arial" w:hAnsi="Arial" w:cs="Arial"/>
          <w:sz w:val="24"/>
          <w:szCs w:val="24"/>
          <w:lang w:val="en-US"/>
        </w:rPr>
        <w:t xml:space="preserve">development cannot be met within available capacity; and </w:t>
      </w:r>
    </w:p>
    <w:p w14:paraId="5402D783" w14:textId="156B5B2B" w:rsidR="0058696F" w:rsidRPr="00DE6F53" w:rsidRDefault="0058696F" w:rsidP="00A86F31">
      <w:pPr>
        <w:pStyle w:val="ListParagraph"/>
        <w:numPr>
          <w:ilvl w:val="0"/>
          <w:numId w:val="2"/>
        </w:numPr>
        <w:spacing w:after="60"/>
        <w:ind w:left="714" w:hanging="357"/>
        <w:contextualSpacing w:val="0"/>
        <w:rPr>
          <w:rFonts w:ascii="Arial" w:hAnsi="Arial" w:cs="Arial"/>
          <w:b/>
          <w:bCs/>
          <w:sz w:val="24"/>
          <w:szCs w:val="24"/>
          <w:lang w:val="en-US"/>
        </w:rPr>
      </w:pPr>
      <w:r w:rsidRPr="00DE6F53">
        <w:rPr>
          <w:rFonts w:ascii="Arial" w:hAnsi="Arial" w:cs="Arial"/>
          <w:sz w:val="24"/>
          <w:szCs w:val="24"/>
          <w:lang w:val="en-US"/>
        </w:rPr>
        <w:t>the accuracy of KCC’s forecasts was not in question</w:t>
      </w:r>
      <w:r w:rsidR="00F343EA">
        <w:rPr>
          <w:rFonts w:ascii="Arial" w:hAnsi="Arial" w:cs="Arial"/>
          <w:sz w:val="24"/>
          <w:szCs w:val="24"/>
          <w:lang w:val="en-US"/>
        </w:rPr>
        <w:t>.</w:t>
      </w:r>
    </w:p>
    <w:p w14:paraId="20722EF6" w14:textId="7E327A60" w:rsidR="0058696F" w:rsidRPr="00DE6F53" w:rsidRDefault="0058696F" w:rsidP="0058696F">
      <w:pPr>
        <w:rPr>
          <w:rFonts w:ascii="Arial" w:hAnsi="Arial" w:cs="Arial"/>
          <w:sz w:val="24"/>
          <w:szCs w:val="24"/>
          <w:lang w:val="en-US"/>
        </w:rPr>
      </w:pPr>
      <w:r w:rsidRPr="00DE6F53">
        <w:rPr>
          <w:rFonts w:ascii="Arial" w:hAnsi="Arial" w:cs="Arial"/>
          <w:sz w:val="24"/>
          <w:szCs w:val="24"/>
          <w:lang w:val="en-US"/>
        </w:rPr>
        <w:t xml:space="preserve">Therefore, it is not my intention here to </w:t>
      </w:r>
      <w:r w:rsidR="00DE6F53" w:rsidRPr="00DE6F53">
        <w:rPr>
          <w:rFonts w:ascii="Arial" w:hAnsi="Arial" w:cs="Arial"/>
          <w:sz w:val="24"/>
          <w:szCs w:val="24"/>
          <w:lang w:val="en-US"/>
        </w:rPr>
        <w:t xml:space="preserve">set out </w:t>
      </w:r>
      <w:r w:rsidRPr="00DE6F53">
        <w:rPr>
          <w:rFonts w:ascii="Arial" w:hAnsi="Arial" w:cs="Arial"/>
          <w:sz w:val="24"/>
          <w:szCs w:val="24"/>
          <w:lang w:val="en-US"/>
        </w:rPr>
        <w:t xml:space="preserve">sections of </w:t>
      </w:r>
      <w:r w:rsidR="00DE6F53" w:rsidRPr="00DE6F53">
        <w:rPr>
          <w:rFonts w:ascii="Arial" w:hAnsi="Arial" w:cs="Arial"/>
          <w:sz w:val="24"/>
          <w:szCs w:val="24"/>
          <w:lang w:val="en-US"/>
        </w:rPr>
        <w:t xml:space="preserve">local and national </w:t>
      </w:r>
      <w:r w:rsidRPr="00DE6F53">
        <w:rPr>
          <w:rFonts w:ascii="Arial" w:hAnsi="Arial" w:cs="Arial"/>
          <w:sz w:val="24"/>
          <w:szCs w:val="24"/>
          <w:lang w:val="en-US"/>
        </w:rPr>
        <w:t>guidance</w:t>
      </w:r>
      <w:r w:rsidR="00DE6F53" w:rsidRPr="00DE6F53">
        <w:rPr>
          <w:rFonts w:ascii="Arial" w:hAnsi="Arial" w:cs="Arial"/>
          <w:sz w:val="24"/>
          <w:szCs w:val="24"/>
          <w:lang w:val="en-US"/>
        </w:rPr>
        <w:t xml:space="preserve"> and legislation</w:t>
      </w:r>
      <w:r w:rsidRPr="00DE6F53">
        <w:rPr>
          <w:rFonts w:ascii="Arial" w:hAnsi="Arial" w:cs="Arial"/>
          <w:sz w:val="24"/>
          <w:szCs w:val="24"/>
          <w:lang w:val="en-US"/>
        </w:rPr>
        <w:t>, or provide data on these points.  Clearly, if this is a misinterpretation</w:t>
      </w:r>
      <w:r w:rsidR="001D7E99" w:rsidRPr="00DE6F53">
        <w:rPr>
          <w:rFonts w:ascii="Arial" w:hAnsi="Arial" w:cs="Arial"/>
          <w:sz w:val="24"/>
          <w:szCs w:val="24"/>
          <w:lang w:val="en-US"/>
        </w:rPr>
        <w:t>, evidence can be provided.</w:t>
      </w:r>
    </w:p>
    <w:p w14:paraId="0CA3EA52" w14:textId="245AA1D1" w:rsidR="0058696F" w:rsidRPr="00DE6F53" w:rsidRDefault="0058696F" w:rsidP="00DE6F53">
      <w:pPr>
        <w:rPr>
          <w:rFonts w:ascii="Arial" w:hAnsi="Arial" w:cs="Arial"/>
          <w:b/>
          <w:bCs/>
          <w:sz w:val="24"/>
          <w:szCs w:val="24"/>
          <w:lang w:val="en-US"/>
        </w:rPr>
      </w:pPr>
      <w:r w:rsidRPr="00DE6F53">
        <w:rPr>
          <w:rFonts w:ascii="Arial" w:hAnsi="Arial" w:cs="Arial"/>
          <w:sz w:val="24"/>
          <w:szCs w:val="24"/>
          <w:lang w:val="en-US"/>
        </w:rPr>
        <w:t xml:space="preserve"> </w:t>
      </w:r>
    </w:p>
    <w:p w14:paraId="435161C2" w14:textId="1A35281E" w:rsidR="00EC491C" w:rsidRPr="00DE6F53" w:rsidRDefault="00EC491C" w:rsidP="00EC491C">
      <w:pPr>
        <w:rPr>
          <w:rFonts w:ascii="Arial" w:hAnsi="Arial" w:cs="Arial"/>
          <w:sz w:val="24"/>
          <w:szCs w:val="24"/>
          <w:u w:val="single"/>
          <w:lang w:val="en-US"/>
        </w:rPr>
      </w:pPr>
      <w:r w:rsidRPr="00DE6F53">
        <w:rPr>
          <w:rFonts w:ascii="Arial" w:hAnsi="Arial" w:cs="Arial"/>
          <w:sz w:val="24"/>
          <w:szCs w:val="24"/>
          <w:u w:val="single"/>
          <w:lang w:val="en-US"/>
        </w:rPr>
        <w:t>Policy framework to support the requests</w:t>
      </w:r>
    </w:p>
    <w:p w14:paraId="460325AB" w14:textId="77777777" w:rsidR="00EC491C" w:rsidRPr="00DE6F53" w:rsidRDefault="00EC491C" w:rsidP="00EC491C">
      <w:pPr>
        <w:rPr>
          <w:rFonts w:ascii="Arial" w:hAnsi="Arial" w:cs="Arial"/>
          <w:sz w:val="24"/>
          <w:szCs w:val="24"/>
          <w:lang w:val="en-US"/>
        </w:rPr>
      </w:pPr>
    </w:p>
    <w:p w14:paraId="7EA495CC" w14:textId="4B9C5922" w:rsidR="000E131F" w:rsidRPr="00DE6F53" w:rsidRDefault="000E131F" w:rsidP="00A86F31">
      <w:pPr>
        <w:pStyle w:val="ListParagraph"/>
        <w:numPr>
          <w:ilvl w:val="0"/>
          <w:numId w:val="2"/>
        </w:numPr>
        <w:spacing w:after="60"/>
        <w:ind w:left="714" w:hanging="357"/>
        <w:contextualSpacing w:val="0"/>
        <w:rPr>
          <w:rFonts w:ascii="Arial" w:hAnsi="Arial" w:cs="Arial"/>
          <w:sz w:val="24"/>
          <w:szCs w:val="24"/>
          <w:lang w:val="en-US"/>
        </w:rPr>
      </w:pPr>
      <w:r w:rsidRPr="00DE6F53">
        <w:rPr>
          <w:rFonts w:ascii="Arial" w:hAnsi="Arial" w:cs="Arial"/>
          <w:sz w:val="24"/>
          <w:szCs w:val="24"/>
          <w:lang w:val="en-US"/>
        </w:rPr>
        <w:t>DfE – Securing Developer Contributions – August 2023</w:t>
      </w:r>
    </w:p>
    <w:p w14:paraId="4DFEA8D5" w14:textId="66790913" w:rsidR="000E131F" w:rsidRPr="00DE6F53" w:rsidRDefault="000E131F" w:rsidP="00A86F31">
      <w:pPr>
        <w:pStyle w:val="ListParagraph"/>
        <w:numPr>
          <w:ilvl w:val="0"/>
          <w:numId w:val="2"/>
        </w:numPr>
        <w:spacing w:after="60"/>
        <w:ind w:left="714" w:hanging="357"/>
        <w:contextualSpacing w:val="0"/>
        <w:rPr>
          <w:rFonts w:ascii="Arial" w:hAnsi="Arial" w:cs="Arial"/>
          <w:sz w:val="24"/>
          <w:szCs w:val="24"/>
          <w:lang w:val="en-US"/>
        </w:rPr>
      </w:pPr>
      <w:r w:rsidRPr="00DE6F53">
        <w:rPr>
          <w:rFonts w:ascii="Arial" w:hAnsi="Arial" w:cs="Arial"/>
          <w:sz w:val="24"/>
          <w:szCs w:val="24"/>
          <w:lang w:val="en-US"/>
        </w:rPr>
        <w:t>DfE – Local Authority Pupil Planning Areas – Guide for Local Authorities – September 2021</w:t>
      </w:r>
    </w:p>
    <w:p w14:paraId="4E0F8D83" w14:textId="244AFF0B" w:rsidR="000E131F" w:rsidRPr="00DE6F53" w:rsidRDefault="000E131F" w:rsidP="00A86F31">
      <w:pPr>
        <w:pStyle w:val="ListParagraph"/>
        <w:numPr>
          <w:ilvl w:val="0"/>
          <w:numId w:val="2"/>
        </w:numPr>
        <w:spacing w:after="60"/>
        <w:ind w:left="714" w:hanging="357"/>
        <w:contextualSpacing w:val="0"/>
        <w:rPr>
          <w:rFonts w:ascii="Arial" w:hAnsi="Arial" w:cs="Arial"/>
          <w:sz w:val="24"/>
          <w:szCs w:val="24"/>
          <w:lang w:val="en-US"/>
        </w:rPr>
      </w:pPr>
      <w:r w:rsidRPr="00DE6F53">
        <w:rPr>
          <w:rFonts w:ascii="Arial" w:hAnsi="Arial" w:cs="Arial"/>
          <w:sz w:val="24"/>
          <w:szCs w:val="24"/>
          <w:lang w:val="en-US"/>
        </w:rPr>
        <w:t>KCC Developer Contributions Guide 2023</w:t>
      </w:r>
    </w:p>
    <w:p w14:paraId="15FFF98A" w14:textId="46B1EFAE" w:rsidR="00DE6F53" w:rsidRPr="00DE6F53" w:rsidRDefault="00DE6F53" w:rsidP="00A86F31">
      <w:pPr>
        <w:pStyle w:val="ListParagraph"/>
        <w:numPr>
          <w:ilvl w:val="0"/>
          <w:numId w:val="2"/>
        </w:numPr>
        <w:spacing w:after="60"/>
        <w:ind w:left="714" w:hanging="357"/>
        <w:contextualSpacing w:val="0"/>
        <w:rPr>
          <w:rFonts w:ascii="Arial" w:hAnsi="Arial" w:cs="Arial"/>
          <w:sz w:val="24"/>
          <w:szCs w:val="24"/>
          <w:lang w:val="en-US"/>
        </w:rPr>
      </w:pPr>
      <w:r w:rsidRPr="00DE6F53">
        <w:rPr>
          <w:rFonts w:ascii="Arial" w:hAnsi="Arial" w:cs="Arial"/>
          <w:sz w:val="24"/>
          <w:szCs w:val="24"/>
          <w:lang w:val="en-US"/>
        </w:rPr>
        <w:t>Kent Commissioning Plan for Education Provision 2024-28</w:t>
      </w:r>
    </w:p>
    <w:p w14:paraId="719F2C56" w14:textId="36E34E48" w:rsidR="00DE6F53" w:rsidRDefault="00E7004D" w:rsidP="00A86F31">
      <w:pPr>
        <w:pStyle w:val="ListParagraph"/>
        <w:numPr>
          <w:ilvl w:val="0"/>
          <w:numId w:val="2"/>
        </w:numPr>
        <w:spacing w:after="60"/>
        <w:ind w:left="714" w:hanging="357"/>
        <w:contextualSpacing w:val="0"/>
        <w:rPr>
          <w:rFonts w:ascii="Arial" w:hAnsi="Arial" w:cs="Arial"/>
          <w:sz w:val="24"/>
          <w:szCs w:val="24"/>
          <w:lang w:val="en-US"/>
        </w:rPr>
      </w:pPr>
      <w:r>
        <w:rPr>
          <w:rFonts w:ascii="Arial" w:hAnsi="Arial" w:cs="Arial"/>
          <w:sz w:val="24"/>
          <w:szCs w:val="24"/>
          <w:lang w:val="en-US"/>
        </w:rPr>
        <w:t xml:space="preserve">Kent </w:t>
      </w:r>
      <w:r w:rsidR="00DE6F53" w:rsidRPr="00DE6F53">
        <w:rPr>
          <w:rFonts w:ascii="Arial" w:hAnsi="Arial" w:cs="Arial"/>
          <w:sz w:val="24"/>
          <w:szCs w:val="24"/>
          <w:lang w:val="en-US"/>
        </w:rPr>
        <w:t>SEND Strategy 2021- 24</w:t>
      </w:r>
    </w:p>
    <w:p w14:paraId="4E613BD6" w14:textId="77777777" w:rsidR="00DE6F53" w:rsidRPr="00DE6F53" w:rsidRDefault="00DE6F53" w:rsidP="00DE6F53">
      <w:pPr>
        <w:rPr>
          <w:rFonts w:ascii="Arial" w:hAnsi="Arial" w:cs="Arial"/>
          <w:lang w:val="en-US"/>
        </w:rPr>
      </w:pPr>
    </w:p>
    <w:p w14:paraId="55AF9920" w14:textId="77777777" w:rsidR="00A86F31" w:rsidRDefault="00A86F31" w:rsidP="004573FD">
      <w:pPr>
        <w:rPr>
          <w:rFonts w:ascii="Arial" w:hAnsi="Arial" w:cs="Arial"/>
          <w:b/>
          <w:bCs/>
          <w:sz w:val="24"/>
          <w:szCs w:val="24"/>
          <w:lang w:val="en-US"/>
        </w:rPr>
      </w:pPr>
    </w:p>
    <w:p w14:paraId="4BED3F38" w14:textId="0E5E60AE" w:rsidR="004573FD" w:rsidRDefault="00DE6F53" w:rsidP="004573FD">
      <w:pPr>
        <w:rPr>
          <w:rFonts w:ascii="Arial" w:hAnsi="Arial" w:cs="Arial"/>
          <w:b/>
          <w:bCs/>
          <w:sz w:val="24"/>
          <w:szCs w:val="24"/>
          <w:lang w:val="en-US"/>
        </w:rPr>
      </w:pPr>
      <w:r w:rsidRPr="00DE6F53">
        <w:rPr>
          <w:rFonts w:ascii="Arial" w:hAnsi="Arial" w:cs="Arial"/>
          <w:b/>
          <w:bCs/>
          <w:sz w:val="24"/>
          <w:szCs w:val="24"/>
          <w:lang w:val="en-US"/>
        </w:rPr>
        <w:t>Secondary School Places</w:t>
      </w:r>
      <w:r w:rsidR="004573FD" w:rsidRPr="00DE6F53">
        <w:rPr>
          <w:rFonts w:ascii="Arial" w:hAnsi="Arial" w:cs="Arial"/>
          <w:b/>
          <w:bCs/>
          <w:sz w:val="24"/>
          <w:szCs w:val="24"/>
          <w:lang w:val="en-US"/>
        </w:rPr>
        <w:t xml:space="preserve"> </w:t>
      </w:r>
    </w:p>
    <w:p w14:paraId="0D10F0D4" w14:textId="77777777" w:rsidR="00DE6F53" w:rsidRPr="00F51822" w:rsidRDefault="00DE6F53" w:rsidP="004573FD">
      <w:pPr>
        <w:rPr>
          <w:rFonts w:ascii="Arial" w:hAnsi="Arial" w:cs="Arial"/>
          <w:sz w:val="24"/>
          <w:szCs w:val="24"/>
          <w:lang w:val="en-US"/>
        </w:rPr>
      </w:pPr>
    </w:p>
    <w:p w14:paraId="7EC96C6C" w14:textId="1BA46228" w:rsidR="00DE6F53" w:rsidRPr="00F51822" w:rsidRDefault="00DE6F53" w:rsidP="00F51822">
      <w:pPr>
        <w:tabs>
          <w:tab w:val="left" w:pos="7905"/>
        </w:tabs>
        <w:rPr>
          <w:rFonts w:ascii="Arial" w:hAnsi="Arial" w:cs="Arial"/>
          <w:sz w:val="24"/>
          <w:szCs w:val="24"/>
          <w:lang w:val="en-US"/>
        </w:rPr>
      </w:pPr>
      <w:r w:rsidRPr="00F51822">
        <w:rPr>
          <w:rFonts w:ascii="Arial" w:hAnsi="Arial" w:cs="Arial"/>
          <w:sz w:val="24"/>
          <w:szCs w:val="24"/>
          <w:lang w:val="en-US"/>
        </w:rPr>
        <w:t>Appendix 1 sets out our assessment of need linked to this application.</w:t>
      </w:r>
      <w:r w:rsidR="00F51822" w:rsidRPr="00F51822">
        <w:rPr>
          <w:rFonts w:ascii="Arial" w:hAnsi="Arial" w:cs="Arial"/>
          <w:sz w:val="24"/>
          <w:szCs w:val="24"/>
          <w:lang w:val="en-US"/>
        </w:rPr>
        <w:t xml:space="preserve">  In line with KCC’s Developer Contributions Guide (5.10.1) the application site has been reassessed following the appeal submission to ensure the request remains up to date and necessary. </w:t>
      </w:r>
    </w:p>
    <w:p w14:paraId="0CA48E78" w14:textId="77777777" w:rsidR="00AD1D39" w:rsidRPr="00F51822" w:rsidRDefault="00AD1D39" w:rsidP="004573FD">
      <w:pPr>
        <w:rPr>
          <w:rFonts w:ascii="Arial" w:hAnsi="Arial" w:cs="Arial"/>
          <w:sz w:val="24"/>
          <w:szCs w:val="24"/>
          <w:lang w:val="en-US"/>
        </w:rPr>
      </w:pPr>
    </w:p>
    <w:p w14:paraId="5F9770F1" w14:textId="7216CCBB" w:rsidR="00AD1D39" w:rsidRDefault="00AD1D39" w:rsidP="004573FD">
      <w:pPr>
        <w:rPr>
          <w:rFonts w:ascii="Arial" w:hAnsi="Arial" w:cs="Arial"/>
          <w:sz w:val="24"/>
          <w:szCs w:val="24"/>
          <w:u w:val="single"/>
          <w:lang w:val="en-US"/>
        </w:rPr>
      </w:pPr>
      <w:r w:rsidRPr="002A3983">
        <w:rPr>
          <w:rFonts w:ascii="Arial" w:hAnsi="Arial" w:cs="Arial"/>
          <w:sz w:val="24"/>
          <w:szCs w:val="24"/>
          <w:u w:val="single"/>
          <w:lang w:val="en-US"/>
        </w:rPr>
        <w:t>This demonstrates:</w:t>
      </w:r>
    </w:p>
    <w:p w14:paraId="2A38D3B2" w14:textId="77777777" w:rsidR="002A3983" w:rsidRPr="002A3983" w:rsidRDefault="002A3983" w:rsidP="004573FD">
      <w:pPr>
        <w:rPr>
          <w:rFonts w:ascii="Arial" w:hAnsi="Arial" w:cs="Arial"/>
          <w:sz w:val="24"/>
          <w:szCs w:val="24"/>
          <w:u w:val="single"/>
          <w:lang w:val="en-US"/>
        </w:rPr>
      </w:pPr>
    </w:p>
    <w:p w14:paraId="176E5B63" w14:textId="77777777" w:rsidR="00F51822" w:rsidRPr="00F51822" w:rsidRDefault="00AD1D39" w:rsidP="00A86F31">
      <w:pPr>
        <w:pStyle w:val="ListParagraph"/>
        <w:numPr>
          <w:ilvl w:val="0"/>
          <w:numId w:val="6"/>
        </w:numPr>
        <w:spacing w:after="60"/>
        <w:ind w:left="709" w:hanging="425"/>
        <w:contextualSpacing w:val="0"/>
        <w:rPr>
          <w:rFonts w:ascii="Arial" w:hAnsi="Arial" w:cs="Arial"/>
          <w:sz w:val="24"/>
          <w:szCs w:val="24"/>
          <w:lang w:val="en-US"/>
        </w:rPr>
      </w:pPr>
      <w:r w:rsidRPr="00F51822">
        <w:rPr>
          <w:rFonts w:ascii="Arial" w:hAnsi="Arial" w:cs="Arial"/>
          <w:sz w:val="24"/>
          <w:szCs w:val="24"/>
          <w:lang w:val="en-US"/>
        </w:rPr>
        <w:t xml:space="preserve">The development will produce 86 pupils.  </w:t>
      </w:r>
    </w:p>
    <w:p w14:paraId="7D0AB9D6" w14:textId="7303D0A0" w:rsidR="00AD1D39" w:rsidRDefault="00AD1D39" w:rsidP="00A86F31">
      <w:pPr>
        <w:pStyle w:val="ListParagraph"/>
        <w:numPr>
          <w:ilvl w:val="0"/>
          <w:numId w:val="6"/>
        </w:numPr>
        <w:spacing w:after="60"/>
        <w:ind w:left="709" w:hanging="425"/>
        <w:contextualSpacing w:val="0"/>
        <w:rPr>
          <w:rFonts w:ascii="Arial" w:hAnsi="Arial" w:cs="Arial"/>
          <w:sz w:val="24"/>
          <w:szCs w:val="24"/>
          <w:lang w:val="en-US"/>
        </w:rPr>
      </w:pPr>
      <w:r w:rsidRPr="00F51822">
        <w:rPr>
          <w:rFonts w:ascii="Arial" w:hAnsi="Arial" w:cs="Arial"/>
          <w:sz w:val="24"/>
          <w:szCs w:val="24"/>
          <w:lang w:val="en-US"/>
        </w:rPr>
        <w:lastRenderedPageBreak/>
        <w:t>This need cannot be accommodated.</w:t>
      </w:r>
      <w:r w:rsidR="00992DCF">
        <w:rPr>
          <w:rFonts w:ascii="Arial" w:hAnsi="Arial" w:cs="Arial"/>
          <w:sz w:val="24"/>
          <w:szCs w:val="24"/>
          <w:lang w:val="en-US"/>
        </w:rPr>
        <w:t xml:space="preserve">  Line 89 shows a deficit of places exists throughout the forecast period.  This is before the product from any housing conta</w:t>
      </w:r>
      <w:r w:rsidR="00963174">
        <w:rPr>
          <w:rFonts w:ascii="Arial" w:hAnsi="Arial" w:cs="Arial"/>
          <w:sz w:val="24"/>
          <w:szCs w:val="24"/>
          <w:lang w:val="en-US"/>
        </w:rPr>
        <w:t>ined</w:t>
      </w:r>
      <w:r w:rsidR="00992DCF">
        <w:rPr>
          <w:rFonts w:ascii="Arial" w:hAnsi="Arial" w:cs="Arial"/>
          <w:sz w:val="24"/>
          <w:szCs w:val="24"/>
          <w:lang w:val="en-US"/>
        </w:rPr>
        <w:t xml:space="preserve"> in line 90 or from this development (line 91) is taken in to account.</w:t>
      </w:r>
    </w:p>
    <w:p w14:paraId="4730F144" w14:textId="20D32EA1" w:rsidR="00C949EC" w:rsidRPr="00F51822" w:rsidRDefault="00C949EC" w:rsidP="00A86F31">
      <w:pPr>
        <w:pStyle w:val="ListParagraph"/>
        <w:numPr>
          <w:ilvl w:val="0"/>
          <w:numId w:val="6"/>
        </w:numPr>
        <w:spacing w:after="60"/>
        <w:ind w:left="709" w:hanging="425"/>
        <w:contextualSpacing w:val="0"/>
        <w:rPr>
          <w:rFonts w:ascii="Arial" w:hAnsi="Arial" w:cs="Arial"/>
          <w:sz w:val="24"/>
          <w:szCs w:val="24"/>
          <w:lang w:val="en-US"/>
        </w:rPr>
      </w:pPr>
      <w:r>
        <w:rPr>
          <w:rFonts w:ascii="Arial" w:hAnsi="Arial" w:cs="Arial"/>
          <w:sz w:val="24"/>
          <w:szCs w:val="24"/>
          <w:lang w:val="en-US"/>
        </w:rPr>
        <w:t xml:space="preserve">A deficit would exist even if all existing schools continued to admit bulge classes and maintained capacity at their peak. </w:t>
      </w:r>
    </w:p>
    <w:p w14:paraId="5BB95712" w14:textId="77777777" w:rsidR="002A3983" w:rsidRDefault="002A3983" w:rsidP="00AD1D39">
      <w:pPr>
        <w:rPr>
          <w:rFonts w:ascii="Arial" w:hAnsi="Arial" w:cs="Arial"/>
          <w:sz w:val="24"/>
          <w:szCs w:val="24"/>
          <w:lang w:val="en-US"/>
        </w:rPr>
      </w:pPr>
    </w:p>
    <w:p w14:paraId="229E3E2D" w14:textId="6A6B2050" w:rsidR="00AD1D39" w:rsidRDefault="00F42EBD" w:rsidP="00AD1D39">
      <w:pPr>
        <w:rPr>
          <w:rFonts w:ascii="Arial" w:hAnsi="Arial" w:cs="Arial"/>
          <w:sz w:val="24"/>
          <w:szCs w:val="24"/>
          <w:u w:val="single"/>
          <w:lang w:val="en-US"/>
        </w:rPr>
      </w:pPr>
      <w:bookmarkStart w:id="0" w:name="_Hlk173954085"/>
      <w:r>
        <w:rPr>
          <w:rFonts w:ascii="Arial" w:hAnsi="Arial" w:cs="Arial"/>
          <w:sz w:val="24"/>
          <w:szCs w:val="24"/>
          <w:u w:val="single"/>
          <w:lang w:val="en-US"/>
        </w:rPr>
        <w:t>Housing mix:</w:t>
      </w:r>
    </w:p>
    <w:bookmarkEnd w:id="0"/>
    <w:p w14:paraId="17FC49D1" w14:textId="77777777" w:rsidR="00804094" w:rsidRDefault="00804094" w:rsidP="00804094">
      <w:pPr>
        <w:pStyle w:val="ListParagraph"/>
        <w:ind w:left="709"/>
        <w:contextualSpacing w:val="0"/>
        <w:rPr>
          <w:rFonts w:ascii="Arial" w:hAnsi="Arial" w:cs="Arial"/>
          <w:sz w:val="24"/>
          <w:szCs w:val="24"/>
          <w:lang w:val="en-US"/>
        </w:rPr>
      </w:pPr>
    </w:p>
    <w:p w14:paraId="20AC6836" w14:textId="5B6049CE" w:rsidR="00F42EBD" w:rsidRPr="00F2425B" w:rsidRDefault="00F42EBD" w:rsidP="00804094">
      <w:pPr>
        <w:pStyle w:val="ListParagraph"/>
        <w:spacing w:after="60"/>
        <w:ind w:left="709"/>
        <w:contextualSpacing w:val="0"/>
        <w:rPr>
          <w:rFonts w:ascii="Arial" w:hAnsi="Arial" w:cs="Arial"/>
          <w:sz w:val="24"/>
          <w:szCs w:val="24"/>
          <w:lang w:val="en-US"/>
        </w:rPr>
      </w:pPr>
      <w:r>
        <w:rPr>
          <w:rFonts w:ascii="Arial" w:hAnsi="Arial" w:cs="Arial"/>
          <w:sz w:val="24"/>
          <w:szCs w:val="24"/>
          <w:lang w:val="en-US"/>
        </w:rPr>
        <w:t>As per the planning application</w:t>
      </w:r>
      <w:r w:rsidR="00F343EA">
        <w:rPr>
          <w:rFonts w:ascii="Arial" w:hAnsi="Arial" w:cs="Arial"/>
          <w:sz w:val="24"/>
          <w:szCs w:val="24"/>
          <w:lang w:val="en-US"/>
        </w:rPr>
        <w:t>, the assessment has been based on:</w:t>
      </w:r>
    </w:p>
    <w:p w14:paraId="0F1FD722" w14:textId="5E1C45C7" w:rsidR="00AD1D39" w:rsidRPr="00F51822" w:rsidRDefault="00F51822" w:rsidP="00804094">
      <w:pPr>
        <w:pStyle w:val="ListParagraph"/>
        <w:numPr>
          <w:ilvl w:val="0"/>
          <w:numId w:val="7"/>
        </w:numPr>
        <w:spacing w:after="60"/>
        <w:ind w:left="709" w:hanging="425"/>
        <w:contextualSpacing w:val="0"/>
        <w:rPr>
          <w:rFonts w:ascii="Arial" w:hAnsi="Arial" w:cs="Arial"/>
          <w:sz w:val="24"/>
          <w:szCs w:val="24"/>
          <w:lang w:val="en-US"/>
        </w:rPr>
      </w:pPr>
      <w:r w:rsidRPr="00F51822">
        <w:rPr>
          <w:rFonts w:ascii="Arial" w:hAnsi="Arial" w:cs="Arial"/>
          <w:sz w:val="24"/>
          <w:szCs w:val="24"/>
          <w:lang w:val="en-US"/>
        </w:rPr>
        <w:t xml:space="preserve">16% of the 655 units will </w:t>
      </w:r>
      <w:r w:rsidR="00A322F8">
        <w:rPr>
          <w:rFonts w:ascii="Arial" w:hAnsi="Arial" w:cs="Arial"/>
          <w:sz w:val="24"/>
          <w:szCs w:val="24"/>
          <w:lang w:val="en-US"/>
        </w:rPr>
        <w:t xml:space="preserve">be </w:t>
      </w:r>
      <w:r w:rsidR="00F42EBD">
        <w:rPr>
          <w:rFonts w:ascii="Arial" w:hAnsi="Arial" w:cs="Arial"/>
          <w:sz w:val="24"/>
          <w:szCs w:val="24"/>
          <w:lang w:val="en-US"/>
        </w:rPr>
        <w:t xml:space="preserve">one bedroom premises, thus we have assumed these will be </w:t>
      </w:r>
      <w:r w:rsidRPr="00F51822">
        <w:rPr>
          <w:rFonts w:ascii="Arial" w:hAnsi="Arial" w:cs="Arial"/>
          <w:sz w:val="24"/>
          <w:szCs w:val="24"/>
          <w:lang w:val="en-US"/>
        </w:rPr>
        <w:t>non-applicable</w:t>
      </w:r>
      <w:r w:rsidR="00F42EBD">
        <w:rPr>
          <w:rFonts w:ascii="Arial" w:hAnsi="Arial" w:cs="Arial"/>
          <w:sz w:val="24"/>
          <w:szCs w:val="24"/>
          <w:lang w:val="en-US"/>
        </w:rPr>
        <w:t xml:space="preserve"> dwellings</w:t>
      </w:r>
      <w:r w:rsidRPr="00F51822">
        <w:rPr>
          <w:rFonts w:ascii="Arial" w:hAnsi="Arial" w:cs="Arial"/>
          <w:sz w:val="24"/>
          <w:szCs w:val="24"/>
          <w:lang w:val="en-US"/>
        </w:rPr>
        <w:t>.</w:t>
      </w:r>
    </w:p>
    <w:p w14:paraId="10C820D3" w14:textId="4367F80B" w:rsidR="00F51822" w:rsidRPr="00F51822" w:rsidRDefault="00F51822" w:rsidP="00804094">
      <w:pPr>
        <w:pStyle w:val="ListParagraph"/>
        <w:numPr>
          <w:ilvl w:val="0"/>
          <w:numId w:val="7"/>
        </w:numPr>
        <w:spacing w:after="60"/>
        <w:ind w:left="709" w:hanging="425"/>
        <w:contextualSpacing w:val="0"/>
        <w:rPr>
          <w:rFonts w:ascii="Arial" w:hAnsi="Arial" w:cs="Arial"/>
          <w:sz w:val="24"/>
          <w:szCs w:val="24"/>
          <w:lang w:val="en-US"/>
        </w:rPr>
      </w:pPr>
      <w:r w:rsidRPr="00F51822">
        <w:rPr>
          <w:rFonts w:ascii="Arial" w:hAnsi="Arial" w:cs="Arial"/>
          <w:sz w:val="24"/>
          <w:szCs w:val="24"/>
          <w:lang w:val="en-US"/>
        </w:rPr>
        <w:t>60% of the 655 units will be applicable houses.</w:t>
      </w:r>
    </w:p>
    <w:p w14:paraId="201FEBD4" w14:textId="4A3BFACB" w:rsidR="00F51822" w:rsidRDefault="00F51822" w:rsidP="00804094">
      <w:pPr>
        <w:pStyle w:val="ListParagraph"/>
        <w:numPr>
          <w:ilvl w:val="0"/>
          <w:numId w:val="7"/>
        </w:numPr>
        <w:spacing w:after="60"/>
        <w:ind w:left="709" w:hanging="425"/>
        <w:contextualSpacing w:val="0"/>
        <w:rPr>
          <w:rFonts w:ascii="Arial" w:hAnsi="Arial" w:cs="Arial"/>
          <w:sz w:val="24"/>
          <w:szCs w:val="24"/>
          <w:lang w:val="en-US"/>
        </w:rPr>
      </w:pPr>
      <w:r w:rsidRPr="00F51822">
        <w:rPr>
          <w:rFonts w:ascii="Arial" w:hAnsi="Arial" w:cs="Arial"/>
          <w:sz w:val="24"/>
          <w:szCs w:val="24"/>
          <w:lang w:val="en-US"/>
        </w:rPr>
        <w:t>24% of the 655 units will be applicable flats.</w:t>
      </w:r>
    </w:p>
    <w:p w14:paraId="1C63664D" w14:textId="77777777" w:rsidR="00F51822" w:rsidRDefault="00F51822" w:rsidP="00F51822">
      <w:pPr>
        <w:rPr>
          <w:rFonts w:ascii="Arial" w:hAnsi="Arial" w:cs="Arial"/>
          <w:sz w:val="24"/>
          <w:szCs w:val="24"/>
          <w:lang w:val="en-US"/>
        </w:rPr>
      </w:pPr>
    </w:p>
    <w:p w14:paraId="70F31EF1" w14:textId="6AFAB96E" w:rsidR="00F51822" w:rsidRDefault="00001DC1" w:rsidP="00F51822">
      <w:pPr>
        <w:rPr>
          <w:rFonts w:ascii="Arial" w:hAnsi="Arial" w:cs="Arial"/>
          <w:sz w:val="24"/>
          <w:szCs w:val="24"/>
          <w:u w:val="single"/>
          <w:lang w:val="en-US"/>
        </w:rPr>
      </w:pPr>
      <w:r w:rsidRPr="002A3983">
        <w:rPr>
          <w:rFonts w:ascii="Arial" w:hAnsi="Arial" w:cs="Arial"/>
          <w:sz w:val="24"/>
          <w:szCs w:val="24"/>
          <w:u w:val="single"/>
          <w:lang w:val="en-US"/>
        </w:rPr>
        <w:t>General p</w:t>
      </w:r>
      <w:r w:rsidR="00F51822" w:rsidRPr="002A3983">
        <w:rPr>
          <w:rFonts w:ascii="Arial" w:hAnsi="Arial" w:cs="Arial"/>
          <w:sz w:val="24"/>
          <w:szCs w:val="24"/>
          <w:u w:val="single"/>
          <w:lang w:val="en-US"/>
        </w:rPr>
        <w:t>oints to note in the assessment:</w:t>
      </w:r>
    </w:p>
    <w:p w14:paraId="25B70034" w14:textId="77777777" w:rsidR="002A3983" w:rsidRPr="002A3983" w:rsidRDefault="002A3983" w:rsidP="00F51822">
      <w:pPr>
        <w:rPr>
          <w:rFonts w:ascii="Arial" w:hAnsi="Arial" w:cs="Arial"/>
          <w:sz w:val="24"/>
          <w:szCs w:val="24"/>
          <w:u w:val="single"/>
          <w:lang w:val="en-US"/>
        </w:rPr>
      </w:pPr>
    </w:p>
    <w:p w14:paraId="26D96D16" w14:textId="1875E621" w:rsidR="00F51822" w:rsidRDefault="00F51822" w:rsidP="00804094">
      <w:pPr>
        <w:pStyle w:val="ListParagraph"/>
        <w:numPr>
          <w:ilvl w:val="0"/>
          <w:numId w:val="5"/>
        </w:numPr>
        <w:spacing w:after="60"/>
        <w:ind w:left="714" w:hanging="357"/>
        <w:contextualSpacing w:val="0"/>
        <w:rPr>
          <w:rFonts w:ascii="Arial" w:hAnsi="Arial" w:cs="Arial"/>
          <w:sz w:val="24"/>
          <w:szCs w:val="24"/>
          <w:lang w:val="en-US"/>
        </w:rPr>
      </w:pPr>
      <w:r>
        <w:rPr>
          <w:rFonts w:ascii="Arial" w:hAnsi="Arial" w:cs="Arial"/>
          <w:sz w:val="24"/>
          <w:szCs w:val="24"/>
          <w:lang w:val="en-US"/>
        </w:rPr>
        <w:t>Pupil forecasts combine the Ashford North non-selective and Ashford selective planning groups.  These overlap, due to the travel flows of pupils which differ in the selective and non-selective sectors.  In headline terms, we assume c25% of secondary pupils will attend selective schools.</w:t>
      </w:r>
    </w:p>
    <w:p w14:paraId="5BE81DC3" w14:textId="77777777" w:rsidR="00992DCF" w:rsidRDefault="00992DCF" w:rsidP="00804094">
      <w:pPr>
        <w:pStyle w:val="ListParagraph"/>
        <w:numPr>
          <w:ilvl w:val="0"/>
          <w:numId w:val="5"/>
        </w:numPr>
        <w:spacing w:after="60"/>
        <w:ind w:left="714" w:hanging="357"/>
        <w:contextualSpacing w:val="0"/>
        <w:rPr>
          <w:rFonts w:ascii="Arial" w:hAnsi="Arial" w:cs="Arial"/>
          <w:sz w:val="24"/>
          <w:szCs w:val="24"/>
          <w:lang w:val="en-US"/>
        </w:rPr>
      </w:pPr>
      <w:r>
        <w:rPr>
          <w:rFonts w:ascii="Arial" w:hAnsi="Arial" w:cs="Arial"/>
          <w:sz w:val="24"/>
          <w:szCs w:val="24"/>
          <w:lang w:val="en-US"/>
        </w:rPr>
        <w:t>Line 17 allows for 2% surplus capacity, the level of surplus advocated by the DfE.</w:t>
      </w:r>
    </w:p>
    <w:p w14:paraId="2E9F7236" w14:textId="4904071E" w:rsidR="00F2425B" w:rsidRDefault="00F2425B" w:rsidP="00804094">
      <w:pPr>
        <w:pStyle w:val="ListParagraph"/>
        <w:numPr>
          <w:ilvl w:val="0"/>
          <w:numId w:val="5"/>
        </w:numPr>
        <w:spacing w:after="60"/>
        <w:ind w:left="714" w:hanging="357"/>
        <w:contextualSpacing w:val="0"/>
        <w:rPr>
          <w:rFonts w:ascii="Arial" w:hAnsi="Arial" w:cs="Arial"/>
          <w:sz w:val="24"/>
          <w:szCs w:val="24"/>
          <w:lang w:val="en-US"/>
        </w:rPr>
      </w:pPr>
      <w:r>
        <w:rPr>
          <w:rFonts w:ascii="Arial" w:hAnsi="Arial" w:cs="Arial"/>
          <w:sz w:val="24"/>
          <w:szCs w:val="24"/>
          <w:lang w:val="en-US"/>
        </w:rPr>
        <w:t>All the schools are academies, thus the County Council is not the maintaining authority, or decision maker in respect of the number of places these school make available.  Due to the pressure on places all have admitted above their PANs</w:t>
      </w:r>
      <w:r w:rsidR="00992DCF">
        <w:rPr>
          <w:rFonts w:ascii="Arial" w:hAnsi="Arial" w:cs="Arial"/>
          <w:sz w:val="24"/>
          <w:szCs w:val="24"/>
          <w:lang w:val="en-US"/>
        </w:rPr>
        <w:t xml:space="preserve"> and the numbers contained in their funding agreements with the Secretary of State.  The capacity available in some schools is set to reduce as year groups with “bulge classes” leave these schools, and the school</w:t>
      </w:r>
      <w:r w:rsidR="00F343EA">
        <w:rPr>
          <w:rFonts w:ascii="Arial" w:hAnsi="Arial" w:cs="Arial"/>
          <w:sz w:val="24"/>
          <w:szCs w:val="24"/>
          <w:lang w:val="en-US"/>
        </w:rPr>
        <w:t>s</w:t>
      </w:r>
      <w:r w:rsidR="00992DCF">
        <w:rPr>
          <w:rFonts w:ascii="Arial" w:hAnsi="Arial" w:cs="Arial"/>
          <w:sz w:val="24"/>
          <w:szCs w:val="24"/>
          <w:lang w:val="en-US"/>
        </w:rPr>
        <w:t xml:space="preserve"> revert to admitting pupil numbers in line with their published admissions arrangements and their funding agreements. </w:t>
      </w:r>
    </w:p>
    <w:p w14:paraId="719F383F" w14:textId="77777777" w:rsidR="00001DC1" w:rsidRDefault="00001DC1" w:rsidP="00001DC1">
      <w:pPr>
        <w:rPr>
          <w:rFonts w:ascii="Arial" w:hAnsi="Arial" w:cs="Arial"/>
          <w:sz w:val="24"/>
          <w:szCs w:val="24"/>
          <w:lang w:val="en-US"/>
        </w:rPr>
      </w:pPr>
    </w:p>
    <w:p w14:paraId="185AEC85" w14:textId="4ADEB3E1" w:rsidR="00001DC1" w:rsidRPr="002A3983" w:rsidRDefault="00001DC1" w:rsidP="00001DC1">
      <w:pPr>
        <w:rPr>
          <w:rFonts w:ascii="Arial" w:hAnsi="Arial" w:cs="Arial"/>
          <w:sz w:val="24"/>
          <w:szCs w:val="24"/>
          <w:u w:val="single"/>
          <w:lang w:val="en-US"/>
        </w:rPr>
      </w:pPr>
      <w:r w:rsidRPr="002A3983">
        <w:rPr>
          <w:rFonts w:ascii="Arial" w:hAnsi="Arial" w:cs="Arial"/>
          <w:sz w:val="24"/>
          <w:szCs w:val="24"/>
          <w:u w:val="single"/>
          <w:lang w:val="en-US"/>
        </w:rPr>
        <w:t>Accounting for built/to be built capacity at Chilmington Green Secondary School</w:t>
      </w:r>
      <w:r w:rsidR="002A3983" w:rsidRPr="002A3983">
        <w:rPr>
          <w:rFonts w:ascii="Arial" w:hAnsi="Arial" w:cs="Arial"/>
          <w:sz w:val="24"/>
          <w:szCs w:val="24"/>
          <w:u w:val="single"/>
          <w:lang w:val="en-US"/>
        </w:rPr>
        <w:t>:</w:t>
      </w:r>
    </w:p>
    <w:p w14:paraId="75F5A763" w14:textId="77777777" w:rsidR="002A3983" w:rsidRDefault="002A3983" w:rsidP="002A3983">
      <w:pPr>
        <w:rPr>
          <w:rFonts w:ascii="Arial" w:hAnsi="Arial" w:cs="Arial"/>
          <w:sz w:val="24"/>
          <w:szCs w:val="24"/>
          <w:lang w:val="en-US"/>
        </w:rPr>
      </w:pPr>
    </w:p>
    <w:p w14:paraId="2EC3CC1E" w14:textId="77777777" w:rsidR="002A3983" w:rsidRDefault="002A3983" w:rsidP="002A3983">
      <w:pPr>
        <w:rPr>
          <w:rFonts w:ascii="Arial" w:hAnsi="Arial" w:cs="Arial"/>
          <w:sz w:val="24"/>
          <w:szCs w:val="24"/>
          <w:lang w:val="en-US"/>
        </w:rPr>
      </w:pPr>
      <w:r w:rsidRPr="002A3983">
        <w:rPr>
          <w:rFonts w:ascii="Arial" w:hAnsi="Arial" w:cs="Arial"/>
          <w:sz w:val="24"/>
          <w:szCs w:val="24"/>
          <w:lang w:val="en-US"/>
        </w:rPr>
        <w:t>This school is currently in temporary accommodation</w:t>
      </w:r>
      <w:r>
        <w:rPr>
          <w:rFonts w:ascii="Arial" w:hAnsi="Arial" w:cs="Arial"/>
          <w:sz w:val="24"/>
          <w:szCs w:val="24"/>
          <w:lang w:val="en-US"/>
        </w:rPr>
        <w:t xml:space="preserve"> while its permanent buildings are under construction</w:t>
      </w:r>
      <w:r w:rsidRPr="002A3983">
        <w:rPr>
          <w:rFonts w:ascii="Arial" w:hAnsi="Arial" w:cs="Arial"/>
          <w:sz w:val="24"/>
          <w:szCs w:val="24"/>
          <w:lang w:val="en-US"/>
        </w:rPr>
        <w:t xml:space="preserve">.  It is due to relocate to its permanent site for September 2025.  </w:t>
      </w:r>
      <w:r w:rsidR="00001DC1" w:rsidRPr="002A3983">
        <w:rPr>
          <w:rFonts w:ascii="Arial" w:hAnsi="Arial" w:cs="Arial"/>
          <w:sz w:val="24"/>
          <w:szCs w:val="24"/>
          <w:lang w:val="en-US"/>
        </w:rPr>
        <w:t xml:space="preserve">The s106 for Chilmington Green provides for a site and contributions for a 6FE secondary school (900 places).  </w:t>
      </w:r>
    </w:p>
    <w:p w14:paraId="7A9E6232" w14:textId="77777777" w:rsidR="002A3983" w:rsidRDefault="002A3983" w:rsidP="002A3983">
      <w:pPr>
        <w:rPr>
          <w:rFonts w:ascii="Arial" w:hAnsi="Arial" w:cs="Arial"/>
          <w:sz w:val="24"/>
          <w:szCs w:val="24"/>
          <w:lang w:val="en-US"/>
        </w:rPr>
      </w:pPr>
    </w:p>
    <w:p w14:paraId="66C51870" w14:textId="287A65C1" w:rsidR="00001DC1" w:rsidRDefault="00001DC1" w:rsidP="002A3983">
      <w:pPr>
        <w:rPr>
          <w:rFonts w:ascii="Arial" w:hAnsi="Arial" w:cs="Arial"/>
          <w:sz w:val="24"/>
          <w:szCs w:val="24"/>
          <w:lang w:val="en-US"/>
        </w:rPr>
      </w:pPr>
      <w:r w:rsidRPr="002A3983">
        <w:rPr>
          <w:rFonts w:ascii="Arial" w:hAnsi="Arial" w:cs="Arial"/>
          <w:sz w:val="24"/>
          <w:szCs w:val="24"/>
          <w:lang w:val="en-US"/>
        </w:rPr>
        <w:t xml:space="preserve">In line with DfE guidance </w:t>
      </w:r>
      <w:r w:rsidR="002A3983" w:rsidRPr="002A3983">
        <w:rPr>
          <w:rFonts w:ascii="Arial" w:hAnsi="Arial" w:cs="Arial"/>
          <w:sz w:val="24"/>
          <w:szCs w:val="24"/>
          <w:lang w:val="en-US"/>
        </w:rPr>
        <w:t>- Securing Developer Contributions 2023 (Para 66) – this capacity does not represent an available surplus for other developments assessing their impact and mitigation.</w:t>
      </w:r>
    </w:p>
    <w:p w14:paraId="696106D7" w14:textId="77777777" w:rsidR="00F2425B" w:rsidRPr="002A3983" w:rsidRDefault="00F2425B" w:rsidP="002A3983">
      <w:pPr>
        <w:rPr>
          <w:rFonts w:ascii="Arial" w:hAnsi="Arial" w:cs="Arial"/>
          <w:sz w:val="24"/>
          <w:szCs w:val="24"/>
          <w:lang w:val="en-US"/>
        </w:rPr>
      </w:pPr>
    </w:p>
    <w:p w14:paraId="195DCFDB" w14:textId="79A06F39" w:rsidR="00F2425B" w:rsidRPr="00F2425B" w:rsidRDefault="002A3983" w:rsidP="00804094">
      <w:pPr>
        <w:pStyle w:val="ListParagraph"/>
        <w:numPr>
          <w:ilvl w:val="0"/>
          <w:numId w:val="8"/>
        </w:numPr>
        <w:spacing w:after="60"/>
        <w:ind w:left="714" w:hanging="357"/>
        <w:contextualSpacing w:val="0"/>
        <w:rPr>
          <w:rFonts w:ascii="Arial" w:hAnsi="Arial" w:cs="Arial"/>
          <w:sz w:val="24"/>
          <w:szCs w:val="24"/>
          <w:lang w:val="en-US"/>
        </w:rPr>
      </w:pPr>
      <w:r w:rsidRPr="00F2425B">
        <w:rPr>
          <w:rFonts w:ascii="Arial" w:hAnsi="Arial" w:cs="Arial"/>
          <w:sz w:val="24"/>
          <w:szCs w:val="24"/>
          <w:lang w:val="en-US"/>
        </w:rPr>
        <w:t xml:space="preserve">The current roll of Chilmington Green Secondary School (123 pupils) is included in the assessment (line 9).  </w:t>
      </w:r>
      <w:r w:rsidR="00C949EC">
        <w:rPr>
          <w:rFonts w:ascii="Arial" w:hAnsi="Arial" w:cs="Arial"/>
          <w:sz w:val="24"/>
          <w:szCs w:val="24"/>
          <w:lang w:val="en-US"/>
        </w:rPr>
        <w:t xml:space="preserve">The current forecasts (July 2023) do not include a line for Chilmington Green School, as it was not open.  The forecast pupil numbers are therefore distributed amongst the open schools. </w:t>
      </w:r>
    </w:p>
    <w:p w14:paraId="3E2EFE63" w14:textId="1E975B86" w:rsidR="00F2425B" w:rsidRDefault="00F2425B" w:rsidP="00804094">
      <w:pPr>
        <w:pStyle w:val="ListParagraph"/>
        <w:numPr>
          <w:ilvl w:val="0"/>
          <w:numId w:val="8"/>
        </w:numPr>
        <w:spacing w:after="60"/>
        <w:ind w:left="714" w:hanging="357"/>
        <w:contextualSpacing w:val="0"/>
        <w:rPr>
          <w:rFonts w:ascii="Arial" w:hAnsi="Arial" w:cs="Arial"/>
          <w:sz w:val="24"/>
          <w:szCs w:val="24"/>
          <w:lang w:val="en-US"/>
        </w:rPr>
      </w:pPr>
      <w:r>
        <w:rPr>
          <w:rFonts w:ascii="Arial" w:hAnsi="Arial" w:cs="Arial"/>
          <w:sz w:val="24"/>
          <w:szCs w:val="24"/>
          <w:lang w:val="en-US"/>
        </w:rPr>
        <w:t>The full capacity (900 places) of the new school is included in the current and forecast capacity section (line 21).</w:t>
      </w:r>
    </w:p>
    <w:p w14:paraId="378CC71D" w14:textId="77777777" w:rsidR="00A322F8" w:rsidRDefault="00A322F8" w:rsidP="00A322F8">
      <w:pPr>
        <w:pStyle w:val="ListParagraph"/>
        <w:numPr>
          <w:ilvl w:val="0"/>
          <w:numId w:val="8"/>
        </w:numPr>
        <w:spacing w:after="60"/>
        <w:ind w:left="714" w:hanging="357"/>
        <w:contextualSpacing w:val="0"/>
        <w:rPr>
          <w:rFonts w:ascii="Arial" w:hAnsi="Arial" w:cs="Arial"/>
          <w:sz w:val="24"/>
          <w:szCs w:val="24"/>
          <w:lang w:val="en-US"/>
        </w:rPr>
      </w:pPr>
      <w:r>
        <w:rPr>
          <w:rFonts w:ascii="Arial" w:hAnsi="Arial" w:cs="Arial"/>
          <w:sz w:val="24"/>
          <w:szCs w:val="24"/>
          <w:lang w:val="en-US"/>
        </w:rPr>
        <w:lastRenderedPageBreak/>
        <w:t xml:space="preserve">4,984 homes that are due to be built in Chilmington Green, which are incorporated in the s106 contributions for that site, have not been factored in to the current or future forecast pupil section of the assessment. </w:t>
      </w:r>
    </w:p>
    <w:p w14:paraId="2909D612" w14:textId="488C8D26" w:rsidR="00F2425B" w:rsidRDefault="00F2425B" w:rsidP="00804094">
      <w:pPr>
        <w:pStyle w:val="ListParagraph"/>
        <w:numPr>
          <w:ilvl w:val="0"/>
          <w:numId w:val="8"/>
        </w:numPr>
        <w:spacing w:after="60"/>
        <w:ind w:left="714" w:hanging="357"/>
        <w:contextualSpacing w:val="0"/>
        <w:rPr>
          <w:rFonts w:ascii="Arial" w:hAnsi="Arial" w:cs="Arial"/>
          <w:sz w:val="24"/>
          <w:szCs w:val="24"/>
          <w:lang w:val="en-US"/>
        </w:rPr>
      </w:pPr>
      <w:r>
        <w:rPr>
          <w:rFonts w:ascii="Arial" w:hAnsi="Arial" w:cs="Arial"/>
          <w:sz w:val="24"/>
          <w:szCs w:val="24"/>
          <w:lang w:val="en-US"/>
        </w:rPr>
        <w:t>Line 22 removes 847 places from the capacity at the school to account for the places being built which are due to be funded from the Chilmington Green S106 contributions, but which are</w:t>
      </w:r>
      <w:r w:rsidR="00A322F8">
        <w:rPr>
          <w:rFonts w:ascii="Arial" w:hAnsi="Arial" w:cs="Arial"/>
          <w:sz w:val="24"/>
          <w:szCs w:val="24"/>
          <w:lang w:val="en-US"/>
        </w:rPr>
        <w:t xml:space="preserve"> not accounted for in the forecast demand</w:t>
      </w:r>
      <w:r>
        <w:rPr>
          <w:rFonts w:ascii="Arial" w:hAnsi="Arial" w:cs="Arial"/>
          <w:sz w:val="24"/>
          <w:szCs w:val="24"/>
          <w:lang w:val="en-US"/>
        </w:rPr>
        <w:t xml:space="preserve">.  </w:t>
      </w:r>
    </w:p>
    <w:p w14:paraId="555F6FC9" w14:textId="77777777" w:rsidR="002A3983" w:rsidRDefault="002A3983" w:rsidP="00992DCF">
      <w:pPr>
        <w:rPr>
          <w:rFonts w:ascii="Arial" w:hAnsi="Arial" w:cs="Arial"/>
          <w:sz w:val="24"/>
          <w:szCs w:val="24"/>
          <w:lang w:val="en-US"/>
        </w:rPr>
      </w:pPr>
    </w:p>
    <w:p w14:paraId="7C2A5C5A" w14:textId="756E02B4" w:rsidR="00A86F31" w:rsidRPr="00636C3E" w:rsidRDefault="00A86F31" w:rsidP="00A86F31">
      <w:pPr>
        <w:rPr>
          <w:rFonts w:ascii="Arial" w:hAnsi="Arial" w:cs="Arial"/>
          <w:sz w:val="24"/>
          <w:szCs w:val="24"/>
          <w:u w:val="single"/>
          <w:lang w:val="en-US"/>
        </w:rPr>
      </w:pPr>
      <w:r w:rsidRPr="00636C3E">
        <w:rPr>
          <w:rFonts w:ascii="Arial" w:hAnsi="Arial" w:cs="Arial"/>
          <w:sz w:val="24"/>
          <w:szCs w:val="24"/>
          <w:u w:val="single"/>
          <w:lang w:val="en-US"/>
        </w:rPr>
        <w:t>Conclusion</w:t>
      </w:r>
      <w:r>
        <w:rPr>
          <w:rFonts w:ascii="Arial" w:hAnsi="Arial" w:cs="Arial"/>
          <w:sz w:val="24"/>
          <w:szCs w:val="24"/>
          <w:u w:val="single"/>
          <w:lang w:val="en-US"/>
        </w:rPr>
        <w:t>- secondary school places</w:t>
      </w:r>
    </w:p>
    <w:p w14:paraId="4DACE03E" w14:textId="77777777" w:rsidR="00A86F31" w:rsidRDefault="00A86F31" w:rsidP="00A86F31">
      <w:pPr>
        <w:spacing w:after="60"/>
        <w:rPr>
          <w:rFonts w:ascii="Arial" w:hAnsi="Arial" w:cs="Arial"/>
          <w:sz w:val="24"/>
          <w:szCs w:val="24"/>
          <w:lang w:val="en-US"/>
        </w:rPr>
      </w:pPr>
    </w:p>
    <w:p w14:paraId="2882A609" w14:textId="1F2553B5" w:rsidR="00A86F31" w:rsidRPr="00DC3CA9" w:rsidRDefault="00A86F31" w:rsidP="00A86F31">
      <w:pPr>
        <w:spacing w:after="60"/>
        <w:rPr>
          <w:rFonts w:ascii="Arial" w:hAnsi="Arial" w:cs="Arial"/>
          <w:sz w:val="24"/>
          <w:szCs w:val="24"/>
          <w:lang w:val="en-US"/>
        </w:rPr>
      </w:pPr>
      <w:r w:rsidRPr="00DC3CA9">
        <w:rPr>
          <w:rFonts w:ascii="Arial" w:hAnsi="Arial" w:cs="Arial"/>
          <w:sz w:val="24"/>
          <w:szCs w:val="24"/>
          <w:lang w:val="en-US"/>
        </w:rPr>
        <w:t xml:space="preserve">Possingham Farm will create a demand that must be mitigated.  </w:t>
      </w:r>
    </w:p>
    <w:p w14:paraId="4EAF5F1C" w14:textId="77777777" w:rsidR="00A86F31" w:rsidRDefault="00A86F31" w:rsidP="00992DCF">
      <w:pPr>
        <w:rPr>
          <w:rFonts w:ascii="Arial" w:hAnsi="Arial" w:cs="Arial"/>
          <w:sz w:val="24"/>
          <w:szCs w:val="24"/>
          <w:lang w:val="en-US"/>
        </w:rPr>
      </w:pPr>
    </w:p>
    <w:p w14:paraId="19F236BB" w14:textId="77777777" w:rsidR="00A86F31" w:rsidRDefault="00A86F31" w:rsidP="00992DCF">
      <w:pPr>
        <w:rPr>
          <w:rFonts w:ascii="Arial" w:hAnsi="Arial" w:cs="Arial"/>
          <w:sz w:val="24"/>
          <w:szCs w:val="24"/>
          <w:lang w:val="en-US"/>
        </w:rPr>
      </w:pPr>
    </w:p>
    <w:p w14:paraId="4781DBBF" w14:textId="0D8B2AC4" w:rsidR="00992DCF" w:rsidRDefault="00992DCF" w:rsidP="00992DCF">
      <w:pPr>
        <w:rPr>
          <w:rFonts w:ascii="Arial" w:hAnsi="Arial" w:cs="Arial"/>
          <w:sz w:val="24"/>
          <w:szCs w:val="24"/>
          <w:lang w:val="en-US"/>
        </w:rPr>
      </w:pPr>
      <w:r>
        <w:rPr>
          <w:rFonts w:ascii="Arial" w:hAnsi="Arial" w:cs="Arial"/>
          <w:b/>
          <w:bCs/>
          <w:sz w:val="24"/>
          <w:szCs w:val="24"/>
          <w:lang w:val="en-US"/>
        </w:rPr>
        <w:t>Specialist Provision for Pupils with SEND</w:t>
      </w:r>
    </w:p>
    <w:p w14:paraId="0B834C93" w14:textId="77777777" w:rsidR="00E7004D" w:rsidRDefault="00E7004D" w:rsidP="00992DCF">
      <w:pPr>
        <w:rPr>
          <w:rFonts w:ascii="Arial" w:hAnsi="Arial" w:cs="Arial"/>
          <w:sz w:val="24"/>
          <w:szCs w:val="24"/>
          <w:lang w:val="en-US"/>
        </w:rPr>
      </w:pPr>
    </w:p>
    <w:p w14:paraId="71470784" w14:textId="7608FB33" w:rsidR="00992DCF" w:rsidRDefault="00E7004D" w:rsidP="00E7004D">
      <w:pPr>
        <w:rPr>
          <w:rFonts w:ascii="Arial" w:hAnsi="Arial" w:cs="Arial"/>
          <w:sz w:val="24"/>
          <w:szCs w:val="24"/>
          <w:lang w:val="en-US"/>
        </w:rPr>
      </w:pPr>
      <w:r>
        <w:rPr>
          <w:rFonts w:ascii="Arial" w:hAnsi="Arial" w:cs="Arial"/>
          <w:sz w:val="24"/>
          <w:szCs w:val="24"/>
          <w:lang w:val="en-US"/>
        </w:rPr>
        <w:t>It is recognised both nationally and locally that the demand for specialist places for pupils with Education, Health and Care Plans is exceeding supply.  This has been fue</w:t>
      </w:r>
      <w:r w:rsidR="00636C3E">
        <w:rPr>
          <w:rFonts w:ascii="Arial" w:hAnsi="Arial" w:cs="Arial"/>
          <w:sz w:val="24"/>
          <w:szCs w:val="24"/>
          <w:lang w:val="en-US"/>
        </w:rPr>
        <w:t>l</w:t>
      </w:r>
      <w:r>
        <w:rPr>
          <w:rFonts w:ascii="Arial" w:hAnsi="Arial" w:cs="Arial"/>
          <w:sz w:val="24"/>
          <w:szCs w:val="24"/>
          <w:lang w:val="en-US"/>
        </w:rPr>
        <w:t xml:space="preserve">ed by the significant increase in the proportion of children </w:t>
      </w:r>
      <w:r w:rsidR="00A915CD">
        <w:rPr>
          <w:rFonts w:ascii="Arial" w:hAnsi="Arial" w:cs="Arial"/>
          <w:sz w:val="24"/>
          <w:szCs w:val="24"/>
          <w:lang w:val="en-US"/>
        </w:rPr>
        <w:t xml:space="preserve">with such plans.  Nationally, c2.8% of pupils had an EHCP in 2018, by 2023 the proportion was </w:t>
      </w:r>
      <w:r w:rsidR="00A86F31">
        <w:rPr>
          <w:rFonts w:ascii="Arial" w:hAnsi="Arial" w:cs="Arial"/>
          <w:sz w:val="24"/>
          <w:szCs w:val="24"/>
          <w:lang w:val="en-US"/>
        </w:rPr>
        <w:t>c</w:t>
      </w:r>
      <w:r w:rsidR="00A915CD">
        <w:rPr>
          <w:rFonts w:ascii="Arial" w:hAnsi="Arial" w:cs="Arial"/>
          <w:sz w:val="24"/>
          <w:szCs w:val="24"/>
          <w:lang w:val="en-US"/>
        </w:rPr>
        <w:t xml:space="preserve">4.3%.  </w:t>
      </w:r>
      <w:r w:rsidR="00DC3CA9">
        <w:rPr>
          <w:rFonts w:ascii="Arial" w:hAnsi="Arial" w:cs="Arial"/>
          <w:sz w:val="24"/>
          <w:szCs w:val="24"/>
          <w:lang w:val="en-US"/>
        </w:rPr>
        <w:t>The rate in Kent significantly exceeds national and rose by 6.8% between January 2022 and January 202</w:t>
      </w:r>
      <w:r w:rsidR="00C80681">
        <w:rPr>
          <w:rFonts w:ascii="Arial" w:hAnsi="Arial" w:cs="Arial"/>
          <w:sz w:val="24"/>
          <w:szCs w:val="24"/>
          <w:lang w:val="en-US"/>
        </w:rPr>
        <w:t>3</w:t>
      </w:r>
      <w:r w:rsidR="00DC3CA9">
        <w:rPr>
          <w:rFonts w:ascii="Arial" w:hAnsi="Arial" w:cs="Arial"/>
          <w:sz w:val="24"/>
          <w:szCs w:val="24"/>
          <w:lang w:val="en-US"/>
        </w:rPr>
        <w:t>.</w:t>
      </w:r>
    </w:p>
    <w:p w14:paraId="5DDC3658" w14:textId="77777777" w:rsidR="00065357" w:rsidRDefault="00065357" w:rsidP="00E7004D">
      <w:pPr>
        <w:rPr>
          <w:rFonts w:ascii="Arial" w:hAnsi="Arial" w:cs="Arial"/>
          <w:sz w:val="24"/>
          <w:szCs w:val="24"/>
          <w:lang w:val="en-US"/>
        </w:rPr>
      </w:pPr>
    </w:p>
    <w:p w14:paraId="631FC653" w14:textId="1636F4DB" w:rsidR="00065357" w:rsidRDefault="00065357" w:rsidP="00E7004D">
      <w:pPr>
        <w:rPr>
          <w:rFonts w:ascii="Arial" w:hAnsi="Arial" w:cs="Arial"/>
          <w:sz w:val="24"/>
          <w:szCs w:val="24"/>
          <w:lang w:val="en-US"/>
        </w:rPr>
      </w:pPr>
      <w:r>
        <w:rPr>
          <w:rFonts w:ascii="Arial" w:hAnsi="Arial" w:cs="Arial"/>
          <w:sz w:val="24"/>
          <w:szCs w:val="24"/>
          <w:lang w:val="en-US"/>
        </w:rPr>
        <w:t>The travel distances for pupils who attend specialist provision are very different from those attending mainstream school, because of the smaller number of special schools and specialist resourced provisions</w:t>
      </w:r>
      <w:r w:rsidR="00437148">
        <w:rPr>
          <w:rFonts w:ascii="Arial" w:hAnsi="Arial" w:cs="Arial"/>
          <w:sz w:val="24"/>
          <w:szCs w:val="24"/>
          <w:lang w:val="en-US"/>
        </w:rPr>
        <w:t xml:space="preserve"> (SRPs)</w:t>
      </w:r>
      <w:r>
        <w:rPr>
          <w:rFonts w:ascii="Arial" w:hAnsi="Arial" w:cs="Arial"/>
          <w:sz w:val="24"/>
          <w:szCs w:val="24"/>
          <w:lang w:val="en-US"/>
        </w:rPr>
        <w:t>, and their need type</w:t>
      </w:r>
      <w:r w:rsidR="00A86F31">
        <w:rPr>
          <w:rFonts w:ascii="Arial" w:hAnsi="Arial" w:cs="Arial"/>
          <w:sz w:val="24"/>
          <w:szCs w:val="24"/>
          <w:lang w:val="en-US"/>
        </w:rPr>
        <w:t xml:space="preserve"> </w:t>
      </w:r>
      <w:r>
        <w:rPr>
          <w:rFonts w:ascii="Arial" w:hAnsi="Arial" w:cs="Arial"/>
          <w:sz w:val="24"/>
          <w:szCs w:val="24"/>
          <w:lang w:val="en-US"/>
        </w:rPr>
        <w:t xml:space="preserve">designations.  For example Ashford District has a 2-19 special school for pupils with Profound, Severe and Complex needs, and an 11-18 special school designated for more able pupils with Social, Emotional and </w:t>
      </w:r>
      <w:r w:rsidR="00F343EA">
        <w:rPr>
          <w:rFonts w:ascii="Arial" w:hAnsi="Arial" w:cs="Arial"/>
          <w:sz w:val="24"/>
          <w:szCs w:val="24"/>
          <w:lang w:val="en-US"/>
        </w:rPr>
        <w:t>M</w:t>
      </w:r>
      <w:r>
        <w:rPr>
          <w:rFonts w:ascii="Arial" w:hAnsi="Arial" w:cs="Arial"/>
          <w:sz w:val="24"/>
          <w:szCs w:val="24"/>
          <w:lang w:val="en-US"/>
        </w:rPr>
        <w:t>ental Health needs.  Pupils not meeting these designations may have to travel to schools in other districts.  This is true also for those attending specialist resource provisions</w:t>
      </w:r>
      <w:r w:rsidR="00F343EA">
        <w:rPr>
          <w:rFonts w:ascii="Arial" w:hAnsi="Arial" w:cs="Arial"/>
          <w:sz w:val="24"/>
          <w:szCs w:val="24"/>
          <w:lang w:val="en-US"/>
        </w:rPr>
        <w:t>.</w:t>
      </w:r>
      <w:r>
        <w:rPr>
          <w:rFonts w:ascii="Arial" w:hAnsi="Arial" w:cs="Arial"/>
          <w:sz w:val="24"/>
          <w:szCs w:val="24"/>
          <w:lang w:val="en-US"/>
        </w:rPr>
        <w:t xml:space="preserve"> </w:t>
      </w:r>
    </w:p>
    <w:p w14:paraId="5EB9A915" w14:textId="77777777" w:rsidR="00065357" w:rsidRDefault="00065357" w:rsidP="00E7004D">
      <w:pPr>
        <w:rPr>
          <w:rFonts w:ascii="Arial" w:hAnsi="Arial" w:cs="Arial"/>
          <w:sz w:val="24"/>
          <w:szCs w:val="24"/>
          <w:lang w:val="en-US"/>
        </w:rPr>
      </w:pPr>
    </w:p>
    <w:p w14:paraId="65201B33" w14:textId="06009B12" w:rsidR="00F343EA" w:rsidRDefault="00065357" w:rsidP="00E7004D">
      <w:pPr>
        <w:rPr>
          <w:rFonts w:ascii="Arial" w:hAnsi="Arial" w:cs="Arial"/>
          <w:sz w:val="24"/>
          <w:szCs w:val="24"/>
          <w:lang w:val="en-US"/>
        </w:rPr>
      </w:pPr>
      <w:r>
        <w:rPr>
          <w:rFonts w:ascii="Arial" w:hAnsi="Arial" w:cs="Arial"/>
          <w:sz w:val="24"/>
          <w:szCs w:val="24"/>
          <w:lang w:val="en-US"/>
        </w:rPr>
        <w:t xml:space="preserve">Accordingly to evidence the need for contributions </w:t>
      </w:r>
      <w:r w:rsidR="00F343EA">
        <w:rPr>
          <w:rFonts w:ascii="Arial" w:hAnsi="Arial" w:cs="Arial"/>
          <w:sz w:val="24"/>
          <w:szCs w:val="24"/>
          <w:lang w:val="en-US"/>
        </w:rPr>
        <w:t>I include c</w:t>
      </w:r>
      <w:r>
        <w:rPr>
          <w:rFonts w:ascii="Arial" w:hAnsi="Arial" w:cs="Arial"/>
          <w:sz w:val="24"/>
          <w:szCs w:val="24"/>
          <w:lang w:val="en-US"/>
        </w:rPr>
        <w:t xml:space="preserve">ounty </w:t>
      </w:r>
      <w:r w:rsidR="00804094">
        <w:rPr>
          <w:rFonts w:ascii="Arial" w:hAnsi="Arial" w:cs="Arial"/>
          <w:sz w:val="24"/>
          <w:szCs w:val="24"/>
          <w:lang w:val="en-US"/>
        </w:rPr>
        <w:t xml:space="preserve">and </w:t>
      </w:r>
      <w:r w:rsidR="00F343EA">
        <w:rPr>
          <w:rFonts w:ascii="Arial" w:hAnsi="Arial" w:cs="Arial"/>
          <w:sz w:val="24"/>
          <w:szCs w:val="24"/>
          <w:lang w:val="en-US"/>
        </w:rPr>
        <w:t xml:space="preserve">district level information.  </w:t>
      </w:r>
    </w:p>
    <w:p w14:paraId="40C5C2E0" w14:textId="77777777" w:rsidR="00F343EA" w:rsidRDefault="00F343EA" w:rsidP="00E7004D">
      <w:pPr>
        <w:rPr>
          <w:rFonts w:ascii="Arial" w:hAnsi="Arial" w:cs="Arial"/>
          <w:sz w:val="24"/>
          <w:szCs w:val="24"/>
          <w:lang w:val="en-US"/>
        </w:rPr>
      </w:pPr>
    </w:p>
    <w:p w14:paraId="6A5DC3DA" w14:textId="1BC07142" w:rsidR="00F343EA" w:rsidRPr="00F343EA" w:rsidRDefault="00F343EA" w:rsidP="00E7004D">
      <w:pPr>
        <w:rPr>
          <w:rFonts w:ascii="Arial" w:hAnsi="Arial" w:cs="Arial"/>
          <w:sz w:val="24"/>
          <w:szCs w:val="24"/>
          <w:u w:val="single"/>
          <w:lang w:val="en-US"/>
        </w:rPr>
      </w:pPr>
      <w:r w:rsidRPr="00F343EA">
        <w:rPr>
          <w:rFonts w:ascii="Arial" w:hAnsi="Arial" w:cs="Arial"/>
          <w:sz w:val="24"/>
          <w:szCs w:val="24"/>
          <w:u w:val="single"/>
          <w:lang w:val="en-US"/>
        </w:rPr>
        <w:t>This demonstrates:</w:t>
      </w:r>
    </w:p>
    <w:p w14:paraId="5BC4A087" w14:textId="012B3A8E" w:rsidR="00F343EA" w:rsidRDefault="00F343EA" w:rsidP="00F7585F">
      <w:pPr>
        <w:pStyle w:val="ListParagraph"/>
        <w:numPr>
          <w:ilvl w:val="0"/>
          <w:numId w:val="10"/>
        </w:numPr>
        <w:spacing w:before="240" w:after="60"/>
        <w:ind w:left="714" w:hanging="357"/>
        <w:contextualSpacing w:val="0"/>
        <w:rPr>
          <w:rFonts w:ascii="Arial" w:hAnsi="Arial" w:cs="Arial"/>
          <w:sz w:val="24"/>
          <w:szCs w:val="24"/>
          <w:lang w:val="en-US"/>
        </w:rPr>
      </w:pPr>
      <w:r>
        <w:rPr>
          <w:rFonts w:ascii="Arial" w:hAnsi="Arial" w:cs="Arial"/>
          <w:sz w:val="24"/>
          <w:szCs w:val="24"/>
          <w:lang w:val="en-US"/>
        </w:rPr>
        <w:t xml:space="preserve">At county level, the number </w:t>
      </w:r>
      <w:r w:rsidR="00804094">
        <w:rPr>
          <w:rFonts w:ascii="Arial" w:hAnsi="Arial" w:cs="Arial"/>
          <w:sz w:val="24"/>
          <w:szCs w:val="24"/>
          <w:lang w:val="en-US"/>
        </w:rPr>
        <w:t xml:space="preserve">of pupils </w:t>
      </w:r>
      <w:r>
        <w:rPr>
          <w:rFonts w:ascii="Arial" w:hAnsi="Arial" w:cs="Arial"/>
          <w:sz w:val="24"/>
          <w:szCs w:val="24"/>
          <w:lang w:val="en-US"/>
        </w:rPr>
        <w:t>on roll of state maintained special schools and SRPs</w:t>
      </w:r>
      <w:r w:rsidR="00437148">
        <w:rPr>
          <w:rFonts w:ascii="Arial" w:hAnsi="Arial" w:cs="Arial"/>
          <w:sz w:val="24"/>
          <w:szCs w:val="24"/>
          <w:lang w:val="en-US"/>
        </w:rPr>
        <w:t xml:space="preserve"> </w:t>
      </w:r>
      <w:r w:rsidR="00882F62">
        <w:rPr>
          <w:rFonts w:ascii="Arial" w:hAnsi="Arial" w:cs="Arial"/>
          <w:sz w:val="24"/>
          <w:szCs w:val="24"/>
          <w:lang w:val="en-US"/>
        </w:rPr>
        <w:t xml:space="preserve">(May 2024) </w:t>
      </w:r>
      <w:r w:rsidR="00437148">
        <w:rPr>
          <w:rFonts w:ascii="Arial" w:hAnsi="Arial" w:cs="Arial"/>
          <w:sz w:val="24"/>
          <w:szCs w:val="24"/>
          <w:lang w:val="en-US"/>
        </w:rPr>
        <w:t>exceeded the capacity available (SCAP 2023) by 3</w:t>
      </w:r>
      <w:r w:rsidR="00C80681">
        <w:rPr>
          <w:rFonts w:ascii="Arial" w:hAnsi="Arial" w:cs="Arial"/>
          <w:sz w:val="24"/>
          <w:szCs w:val="24"/>
          <w:lang w:val="en-US"/>
        </w:rPr>
        <w:t>03</w:t>
      </w:r>
      <w:r w:rsidR="00437148">
        <w:rPr>
          <w:rFonts w:ascii="Arial" w:hAnsi="Arial" w:cs="Arial"/>
          <w:sz w:val="24"/>
          <w:szCs w:val="24"/>
          <w:lang w:val="en-US"/>
        </w:rPr>
        <w:t xml:space="preserve"> pupils (4.</w:t>
      </w:r>
      <w:r w:rsidR="00C80681">
        <w:rPr>
          <w:rFonts w:ascii="Arial" w:hAnsi="Arial" w:cs="Arial"/>
          <w:sz w:val="24"/>
          <w:szCs w:val="24"/>
          <w:lang w:val="en-US"/>
        </w:rPr>
        <w:t>1</w:t>
      </w:r>
      <w:r w:rsidR="00437148">
        <w:rPr>
          <w:rFonts w:ascii="Arial" w:hAnsi="Arial" w:cs="Arial"/>
          <w:sz w:val="24"/>
          <w:szCs w:val="24"/>
          <w:lang w:val="en-US"/>
        </w:rPr>
        <w:t>%);</w:t>
      </w:r>
    </w:p>
    <w:p w14:paraId="336617A9" w14:textId="72721CB8" w:rsidR="00437148" w:rsidRDefault="00437148" w:rsidP="007B3479">
      <w:pPr>
        <w:pStyle w:val="ListParagraph"/>
        <w:numPr>
          <w:ilvl w:val="0"/>
          <w:numId w:val="10"/>
        </w:numPr>
        <w:spacing w:after="60"/>
        <w:ind w:left="714" w:hanging="357"/>
        <w:contextualSpacing w:val="0"/>
        <w:rPr>
          <w:rFonts w:ascii="Arial" w:hAnsi="Arial" w:cs="Arial"/>
          <w:sz w:val="24"/>
          <w:szCs w:val="24"/>
          <w:lang w:val="en-US"/>
        </w:rPr>
      </w:pPr>
      <w:r>
        <w:rPr>
          <w:rFonts w:ascii="Arial" w:hAnsi="Arial" w:cs="Arial"/>
          <w:sz w:val="24"/>
          <w:szCs w:val="24"/>
          <w:lang w:val="en-US"/>
        </w:rPr>
        <w:t>In Ashford district the roll exceeded capacity by 6 pupils (</w:t>
      </w:r>
      <w:r w:rsidR="00C80681">
        <w:rPr>
          <w:rFonts w:ascii="Arial" w:hAnsi="Arial" w:cs="Arial"/>
          <w:sz w:val="24"/>
          <w:szCs w:val="24"/>
          <w:lang w:val="en-US"/>
        </w:rPr>
        <w:t>1.0</w:t>
      </w:r>
      <w:r>
        <w:rPr>
          <w:rFonts w:ascii="Arial" w:hAnsi="Arial" w:cs="Arial"/>
          <w:sz w:val="24"/>
          <w:szCs w:val="24"/>
          <w:lang w:val="en-US"/>
        </w:rPr>
        <w:t xml:space="preserve">%); </w:t>
      </w:r>
    </w:p>
    <w:p w14:paraId="67F48049" w14:textId="1E1AFBB2" w:rsidR="00437148" w:rsidRDefault="004D41C6" w:rsidP="007B3479">
      <w:pPr>
        <w:pStyle w:val="ListParagraph"/>
        <w:numPr>
          <w:ilvl w:val="0"/>
          <w:numId w:val="10"/>
        </w:numPr>
        <w:spacing w:after="60"/>
        <w:ind w:left="714" w:hanging="357"/>
        <w:contextualSpacing w:val="0"/>
        <w:rPr>
          <w:rFonts w:ascii="Arial" w:hAnsi="Arial" w:cs="Arial"/>
          <w:sz w:val="24"/>
          <w:szCs w:val="24"/>
          <w:lang w:val="en-US"/>
        </w:rPr>
      </w:pPr>
      <w:r>
        <w:rPr>
          <w:rFonts w:ascii="Arial" w:hAnsi="Arial" w:cs="Arial"/>
          <w:sz w:val="24"/>
          <w:szCs w:val="24"/>
          <w:lang w:val="en-US"/>
        </w:rPr>
        <w:t>As of January 2024, Kent had</w:t>
      </w:r>
      <w:r w:rsidR="00437148" w:rsidRPr="00180DB2">
        <w:rPr>
          <w:rFonts w:ascii="Arial" w:hAnsi="Arial" w:cs="Arial"/>
          <w:sz w:val="24"/>
          <w:szCs w:val="24"/>
          <w:lang w:val="en-US"/>
        </w:rPr>
        <w:t xml:space="preserve"> </w:t>
      </w:r>
      <w:r w:rsidRPr="00F7585F">
        <w:rPr>
          <w:rFonts w:ascii="Arial" w:hAnsi="Arial" w:cs="Arial"/>
          <w:sz w:val="24"/>
          <w:szCs w:val="24"/>
          <w:lang w:val="en-US"/>
        </w:rPr>
        <w:t>1776</w:t>
      </w:r>
      <w:r w:rsidR="00437148" w:rsidRPr="00180DB2">
        <w:rPr>
          <w:rFonts w:ascii="Arial" w:hAnsi="Arial" w:cs="Arial"/>
          <w:sz w:val="24"/>
          <w:szCs w:val="24"/>
          <w:lang w:val="en-US"/>
        </w:rPr>
        <w:t xml:space="preserve"> pupils with EHCPs placed in independent non-maintained special schools.  This represent</w:t>
      </w:r>
      <w:r w:rsidRPr="00180DB2">
        <w:rPr>
          <w:rFonts w:ascii="Arial" w:hAnsi="Arial" w:cs="Arial"/>
          <w:sz w:val="24"/>
          <w:szCs w:val="24"/>
          <w:lang w:val="en-US"/>
        </w:rPr>
        <w:t>ed</w:t>
      </w:r>
      <w:r w:rsidR="00437148" w:rsidRPr="00180DB2">
        <w:rPr>
          <w:rFonts w:ascii="Arial" w:hAnsi="Arial" w:cs="Arial"/>
          <w:sz w:val="24"/>
          <w:szCs w:val="24"/>
          <w:lang w:val="en-US"/>
        </w:rPr>
        <w:t xml:space="preserve"> </w:t>
      </w:r>
      <w:r w:rsidRPr="00F7585F">
        <w:rPr>
          <w:rFonts w:ascii="Arial" w:hAnsi="Arial" w:cs="Arial"/>
          <w:sz w:val="24"/>
          <w:szCs w:val="24"/>
          <w:lang w:val="en-US"/>
        </w:rPr>
        <w:t>1</w:t>
      </w:r>
      <w:r w:rsidR="00A40798" w:rsidRPr="00F7585F">
        <w:rPr>
          <w:rFonts w:ascii="Arial" w:hAnsi="Arial" w:cs="Arial"/>
          <w:sz w:val="24"/>
          <w:szCs w:val="24"/>
          <w:lang w:val="en-US"/>
        </w:rPr>
        <w:t>8.6</w:t>
      </w:r>
      <w:r w:rsidR="00437148" w:rsidRPr="00180DB2">
        <w:rPr>
          <w:rFonts w:ascii="Arial" w:hAnsi="Arial" w:cs="Arial"/>
          <w:sz w:val="24"/>
          <w:szCs w:val="24"/>
          <w:lang w:val="en-US"/>
        </w:rPr>
        <w:t>%</w:t>
      </w:r>
      <w:r w:rsidR="00437148">
        <w:rPr>
          <w:rFonts w:ascii="Arial" w:hAnsi="Arial" w:cs="Arial"/>
          <w:sz w:val="24"/>
          <w:szCs w:val="24"/>
          <w:lang w:val="en-US"/>
        </w:rPr>
        <w:t xml:space="preserve"> of placements</w:t>
      </w:r>
      <w:r>
        <w:rPr>
          <w:rFonts w:ascii="Arial" w:hAnsi="Arial" w:cs="Arial"/>
          <w:sz w:val="24"/>
          <w:szCs w:val="24"/>
          <w:lang w:val="en-US"/>
        </w:rPr>
        <w:t xml:space="preserve"> at that point in time</w:t>
      </w:r>
      <w:r w:rsidR="00437148">
        <w:rPr>
          <w:rFonts w:ascii="Arial" w:hAnsi="Arial" w:cs="Arial"/>
          <w:sz w:val="24"/>
          <w:szCs w:val="24"/>
          <w:lang w:val="en-US"/>
        </w:rPr>
        <w:t xml:space="preserve">.  </w:t>
      </w:r>
    </w:p>
    <w:p w14:paraId="0927C8B3" w14:textId="3B31FD6D" w:rsidR="006D2AC9" w:rsidRPr="00F343EA" w:rsidRDefault="006D2AC9" w:rsidP="007B3479">
      <w:pPr>
        <w:pStyle w:val="ListParagraph"/>
        <w:numPr>
          <w:ilvl w:val="0"/>
          <w:numId w:val="10"/>
        </w:numPr>
        <w:spacing w:after="60"/>
        <w:ind w:left="714" w:hanging="357"/>
        <w:contextualSpacing w:val="0"/>
        <w:rPr>
          <w:rFonts w:ascii="Arial" w:hAnsi="Arial" w:cs="Arial"/>
          <w:sz w:val="24"/>
          <w:szCs w:val="24"/>
          <w:lang w:val="en-US"/>
        </w:rPr>
      </w:pPr>
      <w:r>
        <w:rPr>
          <w:rFonts w:ascii="Arial" w:hAnsi="Arial" w:cs="Arial"/>
          <w:sz w:val="24"/>
          <w:szCs w:val="24"/>
          <w:lang w:val="en-US"/>
        </w:rPr>
        <w:t>The evidence need from this development is 4.7 pupils.</w:t>
      </w:r>
    </w:p>
    <w:p w14:paraId="4BA7AF8E" w14:textId="77777777" w:rsidR="00A86F31" w:rsidRDefault="00A86F31" w:rsidP="006D2AC9">
      <w:pPr>
        <w:rPr>
          <w:rFonts w:ascii="Arial" w:hAnsi="Arial" w:cs="Arial"/>
          <w:sz w:val="24"/>
          <w:szCs w:val="24"/>
          <w:u w:val="single"/>
          <w:lang w:val="en-US"/>
        </w:rPr>
      </w:pPr>
    </w:p>
    <w:p w14:paraId="34DFFB5F" w14:textId="555C2942" w:rsidR="006D2AC9" w:rsidRPr="006D2AC9" w:rsidRDefault="006D2AC9" w:rsidP="006D2AC9">
      <w:pPr>
        <w:rPr>
          <w:rFonts w:ascii="Arial" w:hAnsi="Arial" w:cs="Arial"/>
          <w:sz w:val="24"/>
          <w:szCs w:val="24"/>
          <w:u w:val="single"/>
          <w:lang w:val="en-US"/>
        </w:rPr>
      </w:pPr>
      <w:r w:rsidRPr="006D2AC9">
        <w:rPr>
          <w:rFonts w:ascii="Arial" w:hAnsi="Arial" w:cs="Arial"/>
          <w:sz w:val="24"/>
          <w:szCs w:val="24"/>
          <w:u w:val="single"/>
          <w:lang w:val="en-US"/>
        </w:rPr>
        <w:t>Housing mix:</w:t>
      </w:r>
    </w:p>
    <w:p w14:paraId="4DCD8080" w14:textId="77777777" w:rsidR="00DC3CA9" w:rsidRDefault="00DC3CA9" w:rsidP="00636C3E">
      <w:pPr>
        <w:rPr>
          <w:rFonts w:ascii="Arial" w:hAnsi="Arial" w:cs="Arial"/>
          <w:sz w:val="24"/>
          <w:szCs w:val="24"/>
          <w:lang w:val="en-US"/>
        </w:rPr>
      </w:pPr>
    </w:p>
    <w:p w14:paraId="5475E58E" w14:textId="5E611773" w:rsidR="00F343EA" w:rsidRDefault="006D2AC9" w:rsidP="00636C3E">
      <w:pPr>
        <w:rPr>
          <w:rFonts w:ascii="Arial" w:hAnsi="Arial" w:cs="Arial"/>
          <w:sz w:val="24"/>
          <w:szCs w:val="24"/>
          <w:lang w:val="en-US"/>
        </w:rPr>
      </w:pPr>
      <w:r>
        <w:rPr>
          <w:rFonts w:ascii="Arial" w:hAnsi="Arial" w:cs="Arial"/>
          <w:sz w:val="24"/>
          <w:szCs w:val="24"/>
          <w:lang w:val="en-US"/>
        </w:rPr>
        <w:t xml:space="preserve">The mix set out above in the secondary contributions section has been applied. </w:t>
      </w:r>
    </w:p>
    <w:p w14:paraId="7A81BDF3" w14:textId="77777777" w:rsidR="00DC3CA9" w:rsidRPr="00636C3E" w:rsidRDefault="00DC3CA9" w:rsidP="00636C3E">
      <w:pPr>
        <w:rPr>
          <w:rFonts w:ascii="Arial" w:hAnsi="Arial" w:cs="Arial"/>
          <w:sz w:val="24"/>
          <w:szCs w:val="24"/>
          <w:lang w:val="en-US"/>
        </w:rPr>
      </w:pPr>
    </w:p>
    <w:p w14:paraId="782CE67A" w14:textId="127ED6DA" w:rsidR="00437148" w:rsidRPr="007B3479" w:rsidRDefault="00437148" w:rsidP="00437148">
      <w:pPr>
        <w:rPr>
          <w:rFonts w:ascii="Arial" w:hAnsi="Arial" w:cs="Arial"/>
          <w:sz w:val="24"/>
          <w:szCs w:val="24"/>
          <w:u w:val="single"/>
          <w:lang w:val="en-US"/>
        </w:rPr>
      </w:pPr>
      <w:r w:rsidRPr="007B3479">
        <w:rPr>
          <w:rFonts w:ascii="Arial" w:hAnsi="Arial" w:cs="Arial"/>
          <w:sz w:val="24"/>
          <w:szCs w:val="24"/>
          <w:u w:val="single"/>
          <w:lang w:val="en-US"/>
        </w:rPr>
        <w:lastRenderedPageBreak/>
        <w:t>Policy</w:t>
      </w:r>
      <w:r w:rsidR="00804094">
        <w:rPr>
          <w:rFonts w:ascii="Arial" w:hAnsi="Arial" w:cs="Arial"/>
          <w:sz w:val="24"/>
          <w:szCs w:val="24"/>
          <w:u w:val="single"/>
          <w:lang w:val="en-US"/>
        </w:rPr>
        <w:t xml:space="preserve"> justification</w:t>
      </w:r>
    </w:p>
    <w:p w14:paraId="06383865" w14:textId="77777777" w:rsidR="006D2AC9" w:rsidRDefault="006D2AC9" w:rsidP="00437148">
      <w:pPr>
        <w:rPr>
          <w:rFonts w:ascii="Arial" w:hAnsi="Arial" w:cs="Arial"/>
          <w:sz w:val="24"/>
          <w:szCs w:val="24"/>
          <w:lang w:val="en-US"/>
        </w:rPr>
      </w:pPr>
    </w:p>
    <w:p w14:paraId="3F32D870" w14:textId="51CFBED7" w:rsidR="00F343EA" w:rsidRPr="007B3479" w:rsidRDefault="00F343EA" w:rsidP="00437148">
      <w:pPr>
        <w:rPr>
          <w:rFonts w:ascii="Arial" w:hAnsi="Arial" w:cs="Arial"/>
          <w:sz w:val="24"/>
          <w:szCs w:val="24"/>
          <w:lang w:val="en-US"/>
        </w:rPr>
      </w:pPr>
      <w:r w:rsidRPr="007B3479">
        <w:rPr>
          <w:rFonts w:ascii="Arial" w:hAnsi="Arial" w:cs="Arial"/>
          <w:sz w:val="24"/>
          <w:szCs w:val="24"/>
          <w:lang w:val="en-US"/>
        </w:rPr>
        <w:t xml:space="preserve">Kent County Council Developer Contributions Guide 2023 Technical Appendix 7: Education – Special Educational Needs and Disabilities (SEND) </w:t>
      </w:r>
      <w:r w:rsidR="006D2AC9">
        <w:rPr>
          <w:rFonts w:ascii="Arial" w:hAnsi="Arial" w:cs="Arial"/>
          <w:sz w:val="24"/>
          <w:szCs w:val="24"/>
          <w:lang w:val="en-US"/>
        </w:rPr>
        <w:t>applies</w:t>
      </w:r>
      <w:r w:rsidRPr="007B3479">
        <w:rPr>
          <w:rFonts w:ascii="Arial" w:hAnsi="Arial" w:cs="Arial"/>
          <w:sz w:val="24"/>
          <w:szCs w:val="24"/>
          <w:lang w:val="en-US"/>
        </w:rPr>
        <w:t>.</w:t>
      </w:r>
    </w:p>
    <w:p w14:paraId="1CA62877" w14:textId="77777777" w:rsidR="00F343EA" w:rsidRDefault="003126B2" w:rsidP="00F343EA">
      <w:hyperlink r:id="rId6" w:history="1">
        <w:r w:rsidR="00F343EA" w:rsidRPr="00401769">
          <w:rPr>
            <w:rStyle w:val="Hyperlink"/>
          </w:rPr>
          <w:t>Technical-Appendix-7_Education_SEND.pdf (kent.gov.uk)</w:t>
        </w:r>
      </w:hyperlink>
    </w:p>
    <w:p w14:paraId="1022F27C" w14:textId="77777777" w:rsidR="00437148" w:rsidRDefault="00437148" w:rsidP="00F343EA"/>
    <w:p w14:paraId="56CB484F" w14:textId="09DD824F" w:rsidR="00F343EA" w:rsidRPr="007B3479" w:rsidRDefault="00437148" w:rsidP="007B3479">
      <w:pPr>
        <w:spacing w:after="60"/>
        <w:rPr>
          <w:rFonts w:ascii="Arial" w:hAnsi="Arial" w:cs="Arial"/>
          <w:sz w:val="24"/>
          <w:szCs w:val="24"/>
          <w:lang w:val="en-US"/>
        </w:rPr>
      </w:pPr>
      <w:r w:rsidRPr="007B3479">
        <w:rPr>
          <w:rFonts w:ascii="Arial" w:hAnsi="Arial" w:cs="Arial"/>
          <w:sz w:val="24"/>
          <w:szCs w:val="24"/>
          <w:lang w:val="en-US"/>
        </w:rPr>
        <w:t>I will not repeat the information here, save to make the following points to assist:</w:t>
      </w:r>
    </w:p>
    <w:p w14:paraId="00C9FDDE" w14:textId="77777777" w:rsidR="007B3479" w:rsidRDefault="00F343EA" w:rsidP="007B3479">
      <w:pPr>
        <w:pStyle w:val="ListParagraph"/>
        <w:numPr>
          <w:ilvl w:val="0"/>
          <w:numId w:val="12"/>
        </w:numPr>
        <w:spacing w:after="60"/>
        <w:ind w:left="714" w:hanging="357"/>
        <w:contextualSpacing w:val="0"/>
        <w:rPr>
          <w:rFonts w:ascii="Arial" w:hAnsi="Arial" w:cs="Arial"/>
          <w:sz w:val="24"/>
          <w:szCs w:val="24"/>
          <w:lang w:val="en-US"/>
        </w:rPr>
      </w:pPr>
      <w:r w:rsidRPr="007B3479">
        <w:rPr>
          <w:rFonts w:ascii="Arial" w:hAnsi="Arial" w:cs="Arial"/>
          <w:sz w:val="24"/>
          <w:szCs w:val="24"/>
          <w:lang w:val="en-US"/>
        </w:rPr>
        <w:t>Paragraph 3.</w:t>
      </w:r>
      <w:r w:rsidR="007B3479">
        <w:rPr>
          <w:rFonts w:ascii="Arial" w:hAnsi="Arial" w:cs="Arial"/>
          <w:sz w:val="24"/>
          <w:szCs w:val="24"/>
          <w:lang w:val="en-US"/>
        </w:rPr>
        <w:t>2.1 makes the point that Kent’s SEND infrastructure is currently at capacity, so KCC will seek contributions from all housing proposals that meet the eligibility threshold.  The data below evidences this statement.</w:t>
      </w:r>
    </w:p>
    <w:p w14:paraId="4FA1EECB" w14:textId="5308500C" w:rsidR="00F343EA" w:rsidRDefault="007B3479" w:rsidP="007B3479">
      <w:pPr>
        <w:pStyle w:val="ListParagraph"/>
        <w:numPr>
          <w:ilvl w:val="0"/>
          <w:numId w:val="12"/>
        </w:numPr>
        <w:spacing w:after="60"/>
        <w:ind w:left="714" w:hanging="357"/>
        <w:contextualSpacing w:val="0"/>
        <w:rPr>
          <w:rFonts w:ascii="Arial" w:hAnsi="Arial" w:cs="Arial"/>
          <w:sz w:val="24"/>
          <w:szCs w:val="24"/>
          <w:lang w:val="en-US"/>
        </w:rPr>
      </w:pPr>
      <w:r>
        <w:rPr>
          <w:rFonts w:ascii="Arial" w:hAnsi="Arial" w:cs="Arial"/>
          <w:sz w:val="24"/>
          <w:szCs w:val="24"/>
          <w:lang w:val="en-US"/>
        </w:rPr>
        <w:t xml:space="preserve">Paragraph 3.3.1 and Table 1 set out the calculation used to determine the </w:t>
      </w:r>
      <w:r w:rsidR="00F343EA" w:rsidRPr="007B3479">
        <w:rPr>
          <w:rFonts w:ascii="Arial" w:hAnsi="Arial" w:cs="Arial"/>
          <w:sz w:val="24"/>
          <w:szCs w:val="24"/>
          <w:lang w:val="en-US"/>
        </w:rPr>
        <w:t xml:space="preserve">demand generated by </w:t>
      </w:r>
      <w:r>
        <w:rPr>
          <w:rFonts w:ascii="Arial" w:hAnsi="Arial" w:cs="Arial"/>
          <w:sz w:val="24"/>
          <w:szCs w:val="24"/>
          <w:lang w:val="en-US"/>
        </w:rPr>
        <w:t xml:space="preserve">the </w:t>
      </w:r>
      <w:r w:rsidR="00F343EA" w:rsidRPr="007B3479">
        <w:rPr>
          <w:rFonts w:ascii="Arial" w:hAnsi="Arial" w:cs="Arial"/>
          <w:sz w:val="24"/>
          <w:szCs w:val="24"/>
          <w:lang w:val="en-US"/>
        </w:rPr>
        <w:t xml:space="preserve">developments.  </w:t>
      </w:r>
    </w:p>
    <w:p w14:paraId="1DD081F2" w14:textId="77777777" w:rsidR="00176D6C" w:rsidRPr="00176D6C" w:rsidRDefault="007B3479">
      <w:pPr>
        <w:pStyle w:val="ListParagraph"/>
        <w:numPr>
          <w:ilvl w:val="0"/>
          <w:numId w:val="12"/>
        </w:numPr>
        <w:spacing w:after="60"/>
        <w:ind w:left="714" w:hanging="357"/>
        <w:contextualSpacing w:val="0"/>
        <w:rPr>
          <w:b/>
          <w:bCs/>
        </w:rPr>
      </w:pPr>
      <w:r w:rsidRPr="00176D6C">
        <w:rPr>
          <w:rFonts w:ascii="Arial" w:hAnsi="Arial" w:cs="Arial"/>
          <w:sz w:val="24"/>
          <w:szCs w:val="24"/>
          <w:lang w:val="en-US"/>
        </w:rPr>
        <w:t>Paragraph 4</w:t>
      </w:r>
      <w:r w:rsidR="00176D6C" w:rsidRPr="00176D6C">
        <w:rPr>
          <w:rFonts w:ascii="Arial" w:hAnsi="Arial" w:cs="Arial"/>
          <w:sz w:val="24"/>
          <w:szCs w:val="24"/>
          <w:lang w:val="en-US"/>
        </w:rPr>
        <w:t>.1 and Table 2 set out the contribution rates applied.</w:t>
      </w:r>
    </w:p>
    <w:p w14:paraId="216F31EB" w14:textId="77777777" w:rsidR="00176D6C" w:rsidRDefault="00176D6C" w:rsidP="00176D6C">
      <w:pPr>
        <w:spacing w:after="60"/>
        <w:rPr>
          <w:b/>
          <w:bCs/>
        </w:rPr>
      </w:pPr>
    </w:p>
    <w:p w14:paraId="59125C43" w14:textId="438E5316" w:rsidR="00F343EA" w:rsidRPr="006D2AC9" w:rsidRDefault="00F343EA" w:rsidP="00F343EA">
      <w:pPr>
        <w:rPr>
          <w:rFonts w:ascii="Arial" w:hAnsi="Arial" w:cs="Arial"/>
          <w:sz w:val="24"/>
          <w:szCs w:val="24"/>
          <w:u w:val="single"/>
          <w:lang w:val="en-US"/>
        </w:rPr>
      </w:pPr>
      <w:r w:rsidRPr="006D2AC9">
        <w:rPr>
          <w:rFonts w:ascii="Arial" w:hAnsi="Arial" w:cs="Arial"/>
          <w:sz w:val="24"/>
          <w:szCs w:val="24"/>
          <w:u w:val="single"/>
          <w:lang w:val="en-US"/>
        </w:rPr>
        <w:t>SEND Capacity</w:t>
      </w:r>
    </w:p>
    <w:p w14:paraId="379E7ED7" w14:textId="77777777" w:rsidR="00317201" w:rsidRDefault="00317201" w:rsidP="00F343EA"/>
    <w:p w14:paraId="6E97B822" w14:textId="50C4EC1D" w:rsidR="00636C3E" w:rsidRPr="00992DCF" w:rsidRDefault="006D2AC9" w:rsidP="00636C3E">
      <w:pPr>
        <w:rPr>
          <w:rFonts w:ascii="Arial" w:hAnsi="Arial" w:cs="Arial"/>
          <w:sz w:val="24"/>
          <w:szCs w:val="24"/>
          <w:lang w:val="en-US"/>
        </w:rPr>
      </w:pPr>
      <w:r w:rsidRPr="009B19FA">
        <w:rPr>
          <w:rFonts w:ascii="Arial" w:hAnsi="Arial" w:cs="Arial"/>
          <w:sz w:val="24"/>
          <w:szCs w:val="24"/>
          <w:lang w:val="en-US"/>
        </w:rPr>
        <w:t>Table 1 sets out at county level the capacity, roll and the surplus/deficit of places at state funded special school and SRPs.  This demonstrates that as at May 2024 these provision</w:t>
      </w:r>
      <w:r w:rsidR="00C80681">
        <w:rPr>
          <w:rFonts w:ascii="Arial" w:hAnsi="Arial" w:cs="Arial"/>
          <w:sz w:val="24"/>
          <w:szCs w:val="24"/>
          <w:lang w:val="en-US"/>
        </w:rPr>
        <w:t>s</w:t>
      </w:r>
      <w:r w:rsidRPr="009B19FA">
        <w:rPr>
          <w:rFonts w:ascii="Arial" w:hAnsi="Arial" w:cs="Arial"/>
          <w:sz w:val="24"/>
          <w:szCs w:val="24"/>
          <w:lang w:val="en-US"/>
        </w:rPr>
        <w:t xml:space="preserve"> had 3</w:t>
      </w:r>
      <w:r w:rsidR="00A26D26">
        <w:rPr>
          <w:rFonts w:ascii="Arial" w:hAnsi="Arial" w:cs="Arial"/>
          <w:sz w:val="24"/>
          <w:szCs w:val="24"/>
          <w:lang w:val="en-US"/>
        </w:rPr>
        <w:t>03</w:t>
      </w:r>
      <w:r w:rsidRPr="009B19FA">
        <w:rPr>
          <w:rFonts w:ascii="Arial" w:hAnsi="Arial" w:cs="Arial"/>
          <w:sz w:val="24"/>
          <w:szCs w:val="24"/>
          <w:lang w:val="en-US"/>
        </w:rPr>
        <w:t xml:space="preserve"> pupils on roll above the capacity reported in our SCAP return in 2023. </w:t>
      </w:r>
      <w:r w:rsidR="00317201" w:rsidRPr="009B19FA">
        <w:rPr>
          <w:rFonts w:ascii="Arial" w:hAnsi="Arial" w:cs="Arial"/>
          <w:sz w:val="24"/>
          <w:szCs w:val="24"/>
          <w:lang w:val="en-US"/>
        </w:rPr>
        <w:t xml:space="preserve"> Additionally KCC has needed to place </w:t>
      </w:r>
      <w:r w:rsidR="00C80681">
        <w:rPr>
          <w:rFonts w:ascii="Arial" w:hAnsi="Arial" w:cs="Arial"/>
          <w:sz w:val="24"/>
          <w:szCs w:val="24"/>
          <w:lang w:val="en-US"/>
        </w:rPr>
        <w:t>1776</w:t>
      </w:r>
      <w:r w:rsidR="00317201" w:rsidRPr="009B19FA">
        <w:rPr>
          <w:rFonts w:ascii="Arial" w:hAnsi="Arial" w:cs="Arial"/>
          <w:sz w:val="24"/>
          <w:szCs w:val="24"/>
          <w:lang w:val="en-US"/>
        </w:rPr>
        <w:t xml:space="preserve"> pupils in independent non-maintained special schools in order to meet its statutory duties.  This is a stark illustration of the pressure in the system, and the truth of the statement that “there is currently no surplus capacity in state funded specialist provision in Kent”.  </w:t>
      </w:r>
      <w:r w:rsidR="00C80681">
        <w:rPr>
          <w:rFonts w:ascii="Arial" w:hAnsi="Arial" w:cs="Arial"/>
          <w:sz w:val="24"/>
          <w:szCs w:val="24"/>
          <w:lang w:val="en-US"/>
        </w:rPr>
        <w:t>Also, i</w:t>
      </w:r>
      <w:r w:rsidR="00317201" w:rsidRPr="009B19FA">
        <w:rPr>
          <w:rFonts w:ascii="Arial" w:hAnsi="Arial" w:cs="Arial"/>
          <w:sz w:val="24"/>
          <w:szCs w:val="24"/>
          <w:lang w:val="en-US"/>
        </w:rPr>
        <w:t xml:space="preserve">t is true to say that it is financially imperative we reduce our reliance on the independent sector, which means moving forward all state funded capacity will continue to be used and thus will not be available to serve the additional demand generated by new development.  </w:t>
      </w:r>
      <w:r w:rsidR="00636C3E">
        <w:rPr>
          <w:rFonts w:ascii="Arial" w:hAnsi="Arial" w:cs="Arial"/>
          <w:sz w:val="24"/>
          <w:szCs w:val="24"/>
          <w:lang w:val="en-US"/>
        </w:rPr>
        <w:t>The DfE Securing Developer Contributions document, paragraph 28, states “</w:t>
      </w:r>
      <w:r w:rsidR="00636C3E">
        <w:t>If you currently rely heavily on provision outside your area and/or independent provision at a significant distance from pupils’ homes, this can indicate a shortfall in specialist provision which will be exacerbated by additional housing development and could be mitigated by developer contributions.”</w:t>
      </w:r>
    </w:p>
    <w:p w14:paraId="5B7416F5" w14:textId="77777777" w:rsidR="00317201" w:rsidRDefault="00317201" w:rsidP="00F343EA"/>
    <w:p w14:paraId="4F7FACDC" w14:textId="38C5C274" w:rsidR="009B19FA" w:rsidRPr="00F7585F" w:rsidRDefault="00317201" w:rsidP="009B19FA">
      <w:pPr>
        <w:rPr>
          <w:rFonts w:ascii="Arial" w:hAnsi="Arial" w:cs="Arial"/>
          <w:i/>
          <w:iCs/>
          <w:sz w:val="24"/>
          <w:szCs w:val="24"/>
          <w:lang w:val="en-US"/>
        </w:rPr>
      </w:pPr>
      <w:r w:rsidRPr="00F7585F">
        <w:rPr>
          <w:rFonts w:ascii="Arial" w:hAnsi="Arial" w:cs="Arial"/>
          <w:i/>
          <w:iCs/>
          <w:sz w:val="24"/>
          <w:szCs w:val="24"/>
          <w:lang w:val="en-US"/>
        </w:rPr>
        <w:t xml:space="preserve">Table 1: </w:t>
      </w:r>
      <w:r w:rsidR="009B19FA" w:rsidRPr="00F7585F">
        <w:rPr>
          <w:rFonts w:ascii="Arial" w:hAnsi="Arial" w:cs="Arial"/>
          <w:i/>
          <w:iCs/>
          <w:sz w:val="24"/>
          <w:szCs w:val="24"/>
          <w:lang w:val="en-US"/>
        </w:rPr>
        <w:t>S</w:t>
      </w:r>
      <w:r w:rsidRPr="00F7585F">
        <w:rPr>
          <w:rFonts w:ascii="Arial" w:hAnsi="Arial" w:cs="Arial"/>
          <w:i/>
          <w:iCs/>
          <w:sz w:val="24"/>
          <w:szCs w:val="24"/>
          <w:lang w:val="en-US"/>
        </w:rPr>
        <w:t>tate funded specialist provision</w:t>
      </w:r>
      <w:r w:rsidR="009B19FA" w:rsidRPr="00F7585F">
        <w:rPr>
          <w:rFonts w:ascii="Arial" w:hAnsi="Arial" w:cs="Arial"/>
          <w:i/>
          <w:iCs/>
          <w:sz w:val="24"/>
          <w:szCs w:val="24"/>
          <w:lang w:val="en-US"/>
        </w:rPr>
        <w:t xml:space="preserve"> in Kent</w:t>
      </w:r>
    </w:p>
    <w:p w14:paraId="0277BD15" w14:textId="77777777" w:rsidR="009B19FA" w:rsidRDefault="009B19FA" w:rsidP="009B19FA"/>
    <w:tbl>
      <w:tblPr>
        <w:tblpPr w:leftFromText="180" w:rightFromText="180" w:vertAnchor="text" w:horzAnchor="margin" w:tblpY="-2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1991"/>
        <w:gridCol w:w="1991"/>
        <w:gridCol w:w="2659"/>
      </w:tblGrid>
      <w:tr w:rsidR="00317201" w:rsidRPr="00EC45D5" w14:paraId="56008E71" w14:textId="77777777" w:rsidTr="009B19FA">
        <w:trPr>
          <w:trHeight w:val="278"/>
        </w:trPr>
        <w:tc>
          <w:tcPr>
            <w:tcW w:w="2285" w:type="dxa"/>
            <w:shd w:val="clear" w:color="auto" w:fill="FFC000"/>
            <w:noWrap/>
            <w:vAlign w:val="center"/>
            <w:hideMark/>
          </w:tcPr>
          <w:p w14:paraId="684CF787" w14:textId="77777777" w:rsidR="00317201" w:rsidRPr="00EC45D5" w:rsidRDefault="00317201" w:rsidP="00317201">
            <w:pPr>
              <w:rPr>
                <w:rFonts w:asciiTheme="minorBidi" w:eastAsia="Times New Roman" w:hAnsiTheme="minorBidi" w:cstheme="minorBidi"/>
                <w:b/>
                <w:bCs/>
                <w:sz w:val="20"/>
                <w:szCs w:val="20"/>
                <w:lang w:eastAsia="en-GB"/>
                <w14:ligatures w14:val="none"/>
              </w:rPr>
            </w:pPr>
            <w:r w:rsidRPr="006C0A7D">
              <w:rPr>
                <w:rFonts w:asciiTheme="minorBidi" w:eastAsia="Times New Roman" w:hAnsiTheme="minorBidi" w:cstheme="minorBidi"/>
                <w:b/>
                <w:bCs/>
                <w:sz w:val="20"/>
                <w:szCs w:val="20"/>
                <w:lang w:eastAsia="en-GB"/>
                <w14:ligatures w14:val="none"/>
              </w:rPr>
              <w:t>School</w:t>
            </w:r>
            <w:r w:rsidRPr="00303DF8">
              <w:rPr>
                <w:rFonts w:asciiTheme="minorBidi" w:eastAsia="Times New Roman" w:hAnsiTheme="minorBidi" w:cstheme="minorBidi"/>
                <w:b/>
                <w:bCs/>
                <w:sz w:val="20"/>
                <w:szCs w:val="20"/>
                <w:lang w:eastAsia="en-GB"/>
                <w14:ligatures w14:val="none"/>
              </w:rPr>
              <w:t xml:space="preserve"> Status</w:t>
            </w:r>
          </w:p>
        </w:tc>
        <w:tc>
          <w:tcPr>
            <w:tcW w:w="1991" w:type="dxa"/>
            <w:shd w:val="clear" w:color="auto" w:fill="FFC000"/>
            <w:noWrap/>
            <w:vAlign w:val="center"/>
            <w:hideMark/>
          </w:tcPr>
          <w:p w14:paraId="6BC0F4AB" w14:textId="77777777" w:rsidR="00317201" w:rsidRPr="00EC45D5" w:rsidRDefault="00317201" w:rsidP="00317201">
            <w:pPr>
              <w:rPr>
                <w:rFonts w:asciiTheme="minorBidi" w:eastAsia="Times New Roman" w:hAnsiTheme="minorBidi" w:cstheme="minorBidi"/>
                <w:b/>
                <w:bCs/>
                <w:sz w:val="20"/>
                <w:szCs w:val="20"/>
                <w:lang w:eastAsia="en-GB"/>
                <w14:ligatures w14:val="none"/>
              </w:rPr>
            </w:pPr>
            <w:r w:rsidRPr="006C0A7D">
              <w:rPr>
                <w:rFonts w:asciiTheme="minorBidi" w:eastAsia="Times New Roman" w:hAnsiTheme="minorBidi" w:cstheme="minorBidi"/>
                <w:b/>
                <w:bCs/>
                <w:sz w:val="20"/>
                <w:szCs w:val="20"/>
                <w:lang w:eastAsia="en-GB"/>
                <w14:ligatures w14:val="none"/>
              </w:rPr>
              <w:t>Total Capacity</w:t>
            </w:r>
            <w:r w:rsidRPr="00303DF8">
              <w:rPr>
                <w:rFonts w:asciiTheme="minorBidi" w:eastAsia="Times New Roman" w:hAnsiTheme="minorBidi" w:cstheme="minorBidi"/>
                <w:b/>
                <w:bCs/>
                <w:sz w:val="20"/>
                <w:szCs w:val="20"/>
                <w:lang w:eastAsia="en-GB"/>
                <w14:ligatures w14:val="none"/>
              </w:rPr>
              <w:t>*</w:t>
            </w:r>
          </w:p>
        </w:tc>
        <w:tc>
          <w:tcPr>
            <w:tcW w:w="1991" w:type="dxa"/>
            <w:shd w:val="clear" w:color="auto" w:fill="FFC000"/>
            <w:noWrap/>
            <w:vAlign w:val="center"/>
            <w:hideMark/>
          </w:tcPr>
          <w:p w14:paraId="64774346" w14:textId="77777777" w:rsidR="00317201" w:rsidRPr="00EC45D5" w:rsidRDefault="00317201" w:rsidP="00317201">
            <w:pPr>
              <w:rPr>
                <w:rFonts w:asciiTheme="minorBidi" w:eastAsia="Times New Roman" w:hAnsiTheme="minorBidi" w:cstheme="minorBidi"/>
                <w:b/>
                <w:bCs/>
                <w:sz w:val="20"/>
                <w:szCs w:val="20"/>
                <w:lang w:eastAsia="en-GB"/>
                <w14:ligatures w14:val="none"/>
              </w:rPr>
            </w:pPr>
            <w:r w:rsidRPr="006C0A7D">
              <w:rPr>
                <w:rFonts w:asciiTheme="minorBidi" w:eastAsia="Times New Roman" w:hAnsiTheme="minorBidi" w:cstheme="minorBidi"/>
                <w:b/>
                <w:bCs/>
                <w:sz w:val="20"/>
                <w:szCs w:val="20"/>
                <w:lang w:eastAsia="en-GB"/>
                <w14:ligatures w14:val="none"/>
              </w:rPr>
              <w:t>Roll</w:t>
            </w:r>
            <w:r w:rsidRPr="006C0A7D">
              <w:rPr>
                <w:rFonts w:asciiTheme="minorBidi" w:eastAsia="Times New Roman" w:hAnsiTheme="minorBidi" w:cstheme="minorBidi"/>
                <w:b/>
                <w:bCs/>
                <w:sz w:val="20"/>
                <w:szCs w:val="20"/>
                <w:lang w:eastAsia="en-GB"/>
                <w14:ligatures w14:val="none"/>
              </w:rPr>
              <w:br/>
              <w:t>May 2024</w:t>
            </w:r>
          </w:p>
        </w:tc>
        <w:tc>
          <w:tcPr>
            <w:tcW w:w="2659" w:type="dxa"/>
            <w:shd w:val="clear" w:color="auto" w:fill="FFC000"/>
            <w:noWrap/>
            <w:vAlign w:val="center"/>
            <w:hideMark/>
          </w:tcPr>
          <w:p w14:paraId="4E5CB7B6" w14:textId="570E1376" w:rsidR="00317201" w:rsidRPr="00EC45D5" w:rsidRDefault="00317201" w:rsidP="00317201">
            <w:pPr>
              <w:rPr>
                <w:rFonts w:asciiTheme="minorBidi" w:eastAsia="Times New Roman" w:hAnsiTheme="minorBidi" w:cstheme="minorBidi"/>
                <w:b/>
                <w:bCs/>
                <w:sz w:val="20"/>
                <w:szCs w:val="20"/>
                <w:lang w:eastAsia="en-GB"/>
                <w14:ligatures w14:val="none"/>
              </w:rPr>
            </w:pPr>
            <w:r w:rsidRPr="006C0A7D">
              <w:rPr>
                <w:rFonts w:asciiTheme="minorBidi" w:eastAsia="Times New Roman" w:hAnsiTheme="minorBidi" w:cstheme="minorBidi"/>
                <w:b/>
                <w:bCs/>
                <w:sz w:val="20"/>
                <w:szCs w:val="20"/>
                <w:lang w:eastAsia="en-GB"/>
                <w14:ligatures w14:val="none"/>
              </w:rPr>
              <w:br/>
            </w:r>
            <w:r>
              <w:rPr>
                <w:rFonts w:asciiTheme="minorBidi" w:eastAsia="Times New Roman" w:hAnsiTheme="minorBidi" w:cstheme="minorBidi"/>
                <w:b/>
                <w:bCs/>
                <w:sz w:val="20"/>
                <w:szCs w:val="20"/>
                <w:lang w:eastAsia="en-GB"/>
                <w14:ligatures w14:val="none"/>
              </w:rPr>
              <w:t>Surplus/deficit places</w:t>
            </w:r>
          </w:p>
        </w:tc>
      </w:tr>
      <w:tr w:rsidR="00317201" w:rsidRPr="00EC45D5" w14:paraId="1714843B" w14:textId="77777777" w:rsidTr="009B19FA">
        <w:trPr>
          <w:trHeight w:val="278"/>
        </w:trPr>
        <w:tc>
          <w:tcPr>
            <w:tcW w:w="2285" w:type="dxa"/>
            <w:shd w:val="clear" w:color="auto" w:fill="auto"/>
            <w:noWrap/>
            <w:vAlign w:val="bottom"/>
            <w:hideMark/>
          </w:tcPr>
          <w:p w14:paraId="6E657045" w14:textId="77777777" w:rsidR="00317201" w:rsidRPr="00EC45D5" w:rsidRDefault="00317201" w:rsidP="00317201">
            <w:pPr>
              <w:rPr>
                <w:rFonts w:asciiTheme="minorBidi" w:eastAsia="Times New Roman" w:hAnsiTheme="minorBidi" w:cstheme="minorBidi"/>
                <w:sz w:val="20"/>
                <w:szCs w:val="20"/>
                <w:lang w:eastAsia="en-GB"/>
                <w14:ligatures w14:val="none"/>
              </w:rPr>
            </w:pPr>
            <w:r w:rsidRPr="00EC45D5">
              <w:rPr>
                <w:rFonts w:asciiTheme="minorBidi" w:eastAsia="Times New Roman" w:hAnsiTheme="minorBidi" w:cstheme="minorBidi"/>
                <w:sz w:val="20"/>
                <w:szCs w:val="20"/>
                <w:lang w:eastAsia="en-GB"/>
                <w14:ligatures w14:val="none"/>
              </w:rPr>
              <w:t>Special School</w:t>
            </w:r>
          </w:p>
        </w:tc>
        <w:tc>
          <w:tcPr>
            <w:tcW w:w="1991" w:type="dxa"/>
            <w:shd w:val="clear" w:color="auto" w:fill="auto"/>
            <w:noWrap/>
            <w:vAlign w:val="bottom"/>
            <w:hideMark/>
          </w:tcPr>
          <w:p w14:paraId="4491047F" w14:textId="77777777" w:rsidR="00317201" w:rsidRPr="00EC45D5" w:rsidRDefault="00317201" w:rsidP="00317201">
            <w:pPr>
              <w:jc w:val="right"/>
              <w:rPr>
                <w:rFonts w:asciiTheme="minorBidi" w:eastAsia="Times New Roman" w:hAnsiTheme="minorBidi" w:cstheme="minorBidi"/>
                <w:sz w:val="20"/>
                <w:szCs w:val="20"/>
                <w:lang w:eastAsia="en-GB"/>
                <w14:ligatures w14:val="none"/>
              </w:rPr>
            </w:pPr>
            <w:r w:rsidRPr="00EC45D5">
              <w:rPr>
                <w:rFonts w:asciiTheme="minorBidi" w:eastAsia="Times New Roman" w:hAnsiTheme="minorBidi" w:cstheme="minorBidi"/>
                <w:sz w:val="20"/>
                <w:szCs w:val="20"/>
                <w:lang w:eastAsia="en-GB"/>
                <w14:ligatures w14:val="none"/>
              </w:rPr>
              <w:t>5988</w:t>
            </w:r>
          </w:p>
        </w:tc>
        <w:tc>
          <w:tcPr>
            <w:tcW w:w="1991" w:type="dxa"/>
            <w:shd w:val="clear" w:color="auto" w:fill="auto"/>
            <w:noWrap/>
            <w:vAlign w:val="bottom"/>
            <w:hideMark/>
          </w:tcPr>
          <w:p w14:paraId="0A6658AD" w14:textId="77777777" w:rsidR="00317201" w:rsidRPr="00EC45D5" w:rsidRDefault="00317201" w:rsidP="00317201">
            <w:pPr>
              <w:jc w:val="right"/>
              <w:rPr>
                <w:rFonts w:asciiTheme="minorBidi" w:eastAsia="Times New Roman" w:hAnsiTheme="minorBidi" w:cstheme="minorBidi"/>
                <w:sz w:val="20"/>
                <w:szCs w:val="20"/>
                <w:lang w:eastAsia="en-GB"/>
                <w14:ligatures w14:val="none"/>
              </w:rPr>
            </w:pPr>
            <w:r w:rsidRPr="00EC45D5">
              <w:rPr>
                <w:rFonts w:asciiTheme="minorBidi" w:eastAsia="Times New Roman" w:hAnsiTheme="minorBidi" w:cstheme="minorBidi"/>
                <w:sz w:val="20"/>
                <w:szCs w:val="20"/>
                <w:lang w:eastAsia="en-GB"/>
                <w14:ligatures w14:val="none"/>
              </w:rPr>
              <w:t>6282</w:t>
            </w:r>
          </w:p>
        </w:tc>
        <w:tc>
          <w:tcPr>
            <w:tcW w:w="2659" w:type="dxa"/>
            <w:shd w:val="clear" w:color="auto" w:fill="FF0000"/>
            <w:noWrap/>
            <w:vAlign w:val="bottom"/>
            <w:hideMark/>
          </w:tcPr>
          <w:p w14:paraId="1364A4D7" w14:textId="520D7CD1" w:rsidR="00317201" w:rsidRPr="00EC45D5" w:rsidRDefault="00317201" w:rsidP="00317201">
            <w:pPr>
              <w:jc w:val="right"/>
              <w:rPr>
                <w:rFonts w:asciiTheme="minorBidi" w:eastAsia="Times New Roman" w:hAnsiTheme="minorBidi" w:cstheme="minorBidi"/>
                <w:sz w:val="20"/>
                <w:szCs w:val="20"/>
                <w:lang w:eastAsia="en-GB"/>
                <w14:ligatures w14:val="none"/>
              </w:rPr>
            </w:pPr>
            <w:r>
              <w:rPr>
                <w:rFonts w:asciiTheme="minorBidi" w:eastAsia="Times New Roman" w:hAnsiTheme="minorBidi" w:cstheme="minorBidi"/>
                <w:sz w:val="20"/>
                <w:szCs w:val="20"/>
                <w:lang w:eastAsia="en-GB"/>
                <w14:ligatures w14:val="none"/>
              </w:rPr>
              <w:t>-</w:t>
            </w:r>
            <w:r w:rsidRPr="00EC45D5">
              <w:rPr>
                <w:rFonts w:asciiTheme="minorBidi" w:eastAsia="Times New Roman" w:hAnsiTheme="minorBidi" w:cstheme="minorBidi"/>
                <w:sz w:val="20"/>
                <w:szCs w:val="20"/>
                <w:lang w:eastAsia="en-GB"/>
                <w14:ligatures w14:val="none"/>
              </w:rPr>
              <w:t>294</w:t>
            </w:r>
          </w:p>
        </w:tc>
      </w:tr>
      <w:tr w:rsidR="00317201" w:rsidRPr="00EC45D5" w14:paraId="5E11B225" w14:textId="77777777" w:rsidTr="009B19FA">
        <w:trPr>
          <w:trHeight w:val="278"/>
        </w:trPr>
        <w:tc>
          <w:tcPr>
            <w:tcW w:w="2285" w:type="dxa"/>
            <w:shd w:val="clear" w:color="auto" w:fill="auto"/>
            <w:noWrap/>
            <w:vAlign w:val="bottom"/>
            <w:hideMark/>
          </w:tcPr>
          <w:p w14:paraId="092180C9" w14:textId="77777777" w:rsidR="00317201" w:rsidRPr="00EC45D5" w:rsidRDefault="00317201" w:rsidP="00317201">
            <w:pPr>
              <w:rPr>
                <w:rFonts w:asciiTheme="minorBidi" w:eastAsia="Times New Roman" w:hAnsiTheme="minorBidi" w:cstheme="minorBidi"/>
                <w:sz w:val="20"/>
                <w:szCs w:val="20"/>
                <w:lang w:eastAsia="en-GB"/>
                <w14:ligatures w14:val="none"/>
              </w:rPr>
            </w:pPr>
            <w:r w:rsidRPr="00EC45D5">
              <w:rPr>
                <w:rFonts w:asciiTheme="minorBidi" w:eastAsia="Times New Roman" w:hAnsiTheme="minorBidi" w:cstheme="minorBidi"/>
                <w:sz w:val="20"/>
                <w:szCs w:val="20"/>
                <w:lang w:eastAsia="en-GB"/>
                <w14:ligatures w14:val="none"/>
              </w:rPr>
              <w:t>Specialist Resourced Provision</w:t>
            </w:r>
          </w:p>
        </w:tc>
        <w:tc>
          <w:tcPr>
            <w:tcW w:w="1991" w:type="dxa"/>
            <w:shd w:val="clear" w:color="auto" w:fill="auto"/>
            <w:noWrap/>
            <w:vAlign w:val="bottom"/>
            <w:hideMark/>
          </w:tcPr>
          <w:p w14:paraId="65565F15" w14:textId="77777777" w:rsidR="00317201" w:rsidRPr="00EC45D5" w:rsidRDefault="00317201" w:rsidP="00317201">
            <w:pPr>
              <w:jc w:val="right"/>
              <w:rPr>
                <w:rFonts w:asciiTheme="minorBidi" w:eastAsia="Times New Roman" w:hAnsiTheme="minorBidi" w:cstheme="minorBidi"/>
                <w:sz w:val="20"/>
                <w:szCs w:val="20"/>
                <w:lang w:eastAsia="en-GB"/>
                <w14:ligatures w14:val="none"/>
              </w:rPr>
            </w:pPr>
            <w:r w:rsidRPr="00EC45D5">
              <w:rPr>
                <w:rFonts w:asciiTheme="minorBidi" w:eastAsia="Times New Roman" w:hAnsiTheme="minorBidi" w:cstheme="minorBidi"/>
                <w:sz w:val="20"/>
                <w:szCs w:val="20"/>
                <w:lang w:eastAsia="en-GB"/>
                <w14:ligatures w14:val="none"/>
              </w:rPr>
              <w:t>1462</w:t>
            </w:r>
          </w:p>
        </w:tc>
        <w:tc>
          <w:tcPr>
            <w:tcW w:w="1991" w:type="dxa"/>
            <w:shd w:val="clear" w:color="auto" w:fill="auto"/>
            <w:noWrap/>
            <w:vAlign w:val="bottom"/>
            <w:hideMark/>
          </w:tcPr>
          <w:p w14:paraId="3D8A8E15" w14:textId="2D5A41B5" w:rsidR="00317201" w:rsidRPr="00EC45D5" w:rsidRDefault="00B53421" w:rsidP="00317201">
            <w:pPr>
              <w:jc w:val="right"/>
              <w:rPr>
                <w:rFonts w:asciiTheme="minorBidi" w:eastAsia="Times New Roman" w:hAnsiTheme="minorBidi" w:cstheme="minorBidi"/>
                <w:sz w:val="20"/>
                <w:szCs w:val="20"/>
                <w:lang w:eastAsia="en-GB"/>
                <w14:ligatures w14:val="none"/>
              </w:rPr>
            </w:pPr>
            <w:r>
              <w:rPr>
                <w:rFonts w:asciiTheme="minorBidi" w:eastAsia="Times New Roman" w:hAnsiTheme="minorBidi" w:cstheme="minorBidi"/>
                <w:sz w:val="20"/>
                <w:szCs w:val="20"/>
                <w:lang w:eastAsia="en-GB"/>
                <w14:ligatures w14:val="none"/>
              </w:rPr>
              <w:t>1471</w:t>
            </w:r>
          </w:p>
        </w:tc>
        <w:tc>
          <w:tcPr>
            <w:tcW w:w="2659" w:type="dxa"/>
            <w:shd w:val="clear" w:color="auto" w:fill="FF0000"/>
            <w:noWrap/>
            <w:vAlign w:val="bottom"/>
            <w:hideMark/>
          </w:tcPr>
          <w:p w14:paraId="07799339" w14:textId="00DA44B6" w:rsidR="00317201" w:rsidRPr="00EC45D5" w:rsidRDefault="00317201" w:rsidP="00317201">
            <w:pPr>
              <w:jc w:val="right"/>
              <w:rPr>
                <w:rFonts w:asciiTheme="minorBidi" w:eastAsia="Times New Roman" w:hAnsiTheme="minorBidi" w:cstheme="minorBidi"/>
                <w:sz w:val="20"/>
                <w:szCs w:val="20"/>
                <w:lang w:eastAsia="en-GB"/>
                <w14:ligatures w14:val="none"/>
              </w:rPr>
            </w:pPr>
            <w:r>
              <w:rPr>
                <w:rFonts w:asciiTheme="minorBidi" w:eastAsia="Times New Roman" w:hAnsiTheme="minorBidi" w:cstheme="minorBidi"/>
                <w:sz w:val="20"/>
                <w:szCs w:val="20"/>
                <w:lang w:eastAsia="en-GB"/>
                <w14:ligatures w14:val="none"/>
              </w:rPr>
              <w:t>-</w:t>
            </w:r>
            <w:r w:rsidR="00B53421">
              <w:rPr>
                <w:rFonts w:asciiTheme="minorBidi" w:eastAsia="Times New Roman" w:hAnsiTheme="minorBidi" w:cstheme="minorBidi"/>
                <w:sz w:val="20"/>
                <w:szCs w:val="20"/>
                <w:lang w:eastAsia="en-GB"/>
                <w14:ligatures w14:val="none"/>
              </w:rPr>
              <w:t>9</w:t>
            </w:r>
          </w:p>
        </w:tc>
      </w:tr>
      <w:tr w:rsidR="00317201" w:rsidRPr="00EC45D5" w14:paraId="0B0D9C56" w14:textId="77777777" w:rsidTr="009B19FA">
        <w:trPr>
          <w:trHeight w:val="278"/>
        </w:trPr>
        <w:tc>
          <w:tcPr>
            <w:tcW w:w="2285" w:type="dxa"/>
            <w:shd w:val="clear" w:color="auto" w:fill="auto"/>
            <w:noWrap/>
            <w:vAlign w:val="bottom"/>
            <w:hideMark/>
          </w:tcPr>
          <w:p w14:paraId="67EC175F" w14:textId="77777777" w:rsidR="00317201" w:rsidRPr="00EC45D5" w:rsidRDefault="00317201" w:rsidP="00317201">
            <w:pPr>
              <w:rPr>
                <w:rFonts w:asciiTheme="minorBidi" w:eastAsia="Times New Roman" w:hAnsiTheme="minorBidi" w:cstheme="minorBidi"/>
                <w:b/>
                <w:bCs/>
                <w:sz w:val="20"/>
                <w:szCs w:val="20"/>
                <w:lang w:eastAsia="en-GB"/>
                <w14:ligatures w14:val="none"/>
              </w:rPr>
            </w:pPr>
            <w:r w:rsidRPr="00303DF8">
              <w:rPr>
                <w:rFonts w:asciiTheme="minorBidi" w:eastAsia="Times New Roman" w:hAnsiTheme="minorBidi" w:cstheme="minorBidi"/>
                <w:b/>
                <w:bCs/>
                <w:sz w:val="20"/>
                <w:szCs w:val="20"/>
                <w:lang w:eastAsia="en-GB"/>
                <w14:ligatures w14:val="none"/>
              </w:rPr>
              <w:t>Kent Total</w:t>
            </w:r>
          </w:p>
        </w:tc>
        <w:tc>
          <w:tcPr>
            <w:tcW w:w="1991" w:type="dxa"/>
            <w:shd w:val="clear" w:color="auto" w:fill="auto"/>
            <w:noWrap/>
            <w:vAlign w:val="bottom"/>
            <w:hideMark/>
          </w:tcPr>
          <w:p w14:paraId="674980DC" w14:textId="77777777" w:rsidR="00317201" w:rsidRPr="00EC45D5" w:rsidRDefault="00317201" w:rsidP="00317201">
            <w:pPr>
              <w:jc w:val="right"/>
              <w:rPr>
                <w:rFonts w:asciiTheme="minorBidi" w:eastAsia="Times New Roman" w:hAnsiTheme="minorBidi" w:cstheme="minorBidi"/>
                <w:b/>
                <w:bCs/>
                <w:sz w:val="20"/>
                <w:szCs w:val="20"/>
                <w:lang w:eastAsia="en-GB"/>
                <w14:ligatures w14:val="none"/>
              </w:rPr>
            </w:pPr>
            <w:r w:rsidRPr="00EC45D5">
              <w:rPr>
                <w:rFonts w:asciiTheme="minorBidi" w:eastAsia="Times New Roman" w:hAnsiTheme="minorBidi" w:cstheme="minorBidi"/>
                <w:b/>
                <w:bCs/>
                <w:sz w:val="20"/>
                <w:szCs w:val="20"/>
                <w:lang w:eastAsia="en-GB"/>
                <w14:ligatures w14:val="none"/>
              </w:rPr>
              <w:t>7450</w:t>
            </w:r>
          </w:p>
        </w:tc>
        <w:tc>
          <w:tcPr>
            <w:tcW w:w="1991" w:type="dxa"/>
            <w:shd w:val="clear" w:color="auto" w:fill="auto"/>
            <w:noWrap/>
            <w:vAlign w:val="bottom"/>
            <w:hideMark/>
          </w:tcPr>
          <w:p w14:paraId="09E1609A" w14:textId="196F789E" w:rsidR="00317201" w:rsidRPr="00EC45D5" w:rsidRDefault="00317201" w:rsidP="00317201">
            <w:pPr>
              <w:jc w:val="right"/>
              <w:rPr>
                <w:rFonts w:asciiTheme="minorBidi" w:eastAsia="Times New Roman" w:hAnsiTheme="minorBidi" w:cstheme="minorBidi"/>
                <w:b/>
                <w:bCs/>
                <w:sz w:val="20"/>
                <w:szCs w:val="20"/>
                <w:lang w:eastAsia="en-GB"/>
                <w14:ligatures w14:val="none"/>
              </w:rPr>
            </w:pPr>
            <w:r w:rsidRPr="00EC45D5">
              <w:rPr>
                <w:rFonts w:asciiTheme="minorBidi" w:eastAsia="Times New Roman" w:hAnsiTheme="minorBidi" w:cstheme="minorBidi"/>
                <w:b/>
                <w:bCs/>
                <w:sz w:val="20"/>
                <w:szCs w:val="20"/>
                <w:lang w:eastAsia="en-GB"/>
                <w14:ligatures w14:val="none"/>
              </w:rPr>
              <w:t>77</w:t>
            </w:r>
            <w:r w:rsidR="00B53421">
              <w:rPr>
                <w:rFonts w:asciiTheme="minorBidi" w:eastAsia="Times New Roman" w:hAnsiTheme="minorBidi" w:cstheme="minorBidi"/>
                <w:b/>
                <w:bCs/>
                <w:sz w:val="20"/>
                <w:szCs w:val="20"/>
                <w:lang w:eastAsia="en-GB"/>
                <w14:ligatures w14:val="none"/>
              </w:rPr>
              <w:t>53</w:t>
            </w:r>
          </w:p>
        </w:tc>
        <w:tc>
          <w:tcPr>
            <w:tcW w:w="2659" w:type="dxa"/>
            <w:shd w:val="clear" w:color="auto" w:fill="FF0000"/>
            <w:noWrap/>
            <w:vAlign w:val="bottom"/>
            <w:hideMark/>
          </w:tcPr>
          <w:p w14:paraId="26439DE8" w14:textId="3892A723" w:rsidR="00317201" w:rsidRPr="00EC45D5" w:rsidRDefault="00317201" w:rsidP="00317201">
            <w:pPr>
              <w:jc w:val="right"/>
              <w:rPr>
                <w:rFonts w:asciiTheme="minorBidi" w:eastAsia="Times New Roman" w:hAnsiTheme="minorBidi" w:cstheme="minorBidi"/>
                <w:b/>
                <w:bCs/>
                <w:sz w:val="20"/>
                <w:szCs w:val="20"/>
                <w:lang w:eastAsia="en-GB"/>
                <w14:ligatures w14:val="none"/>
              </w:rPr>
            </w:pPr>
            <w:r>
              <w:rPr>
                <w:rFonts w:asciiTheme="minorBidi" w:eastAsia="Times New Roman" w:hAnsiTheme="minorBidi" w:cstheme="minorBidi"/>
                <w:b/>
                <w:bCs/>
                <w:sz w:val="20"/>
                <w:szCs w:val="20"/>
                <w:lang w:eastAsia="en-GB"/>
                <w14:ligatures w14:val="none"/>
              </w:rPr>
              <w:t>-</w:t>
            </w:r>
            <w:r w:rsidRPr="00EC45D5">
              <w:rPr>
                <w:rFonts w:asciiTheme="minorBidi" w:eastAsia="Times New Roman" w:hAnsiTheme="minorBidi" w:cstheme="minorBidi"/>
                <w:b/>
                <w:bCs/>
                <w:sz w:val="20"/>
                <w:szCs w:val="20"/>
                <w:lang w:eastAsia="en-GB"/>
                <w14:ligatures w14:val="none"/>
              </w:rPr>
              <w:t>3</w:t>
            </w:r>
            <w:r w:rsidR="00B53421">
              <w:rPr>
                <w:rFonts w:asciiTheme="minorBidi" w:eastAsia="Times New Roman" w:hAnsiTheme="minorBidi" w:cstheme="minorBidi"/>
                <w:b/>
                <w:bCs/>
                <w:sz w:val="20"/>
                <w:szCs w:val="20"/>
                <w:lang w:eastAsia="en-GB"/>
                <w14:ligatures w14:val="none"/>
              </w:rPr>
              <w:t>03</w:t>
            </w:r>
          </w:p>
        </w:tc>
      </w:tr>
    </w:tbl>
    <w:p w14:paraId="0AB2FF41" w14:textId="77777777" w:rsidR="009B19FA" w:rsidRDefault="009B19FA" w:rsidP="009B19FA">
      <w:pPr>
        <w:rPr>
          <w:sz w:val="16"/>
          <w:szCs w:val="16"/>
        </w:rPr>
      </w:pPr>
      <w:r w:rsidRPr="009B19FA">
        <w:rPr>
          <w:sz w:val="16"/>
          <w:szCs w:val="16"/>
        </w:rPr>
        <w:t>*The total capacity is based on the higher of the commissioned number or roll as of January 2023.  This is the figure sent to the DfE and published.</w:t>
      </w:r>
    </w:p>
    <w:p w14:paraId="24B1AAAE" w14:textId="77777777" w:rsidR="009B19FA" w:rsidRPr="009B19FA" w:rsidRDefault="009B19FA" w:rsidP="009B19FA">
      <w:pPr>
        <w:rPr>
          <w:sz w:val="16"/>
          <w:szCs w:val="16"/>
        </w:rPr>
      </w:pPr>
    </w:p>
    <w:p w14:paraId="1BED5BA5" w14:textId="43A40A6B" w:rsidR="009B19FA" w:rsidRDefault="00317201" w:rsidP="009B19FA">
      <w:pPr>
        <w:spacing w:after="60"/>
      </w:pPr>
      <w:r w:rsidRPr="009B19FA">
        <w:rPr>
          <w:rFonts w:ascii="Arial" w:hAnsi="Arial" w:cs="Arial"/>
          <w:sz w:val="24"/>
          <w:szCs w:val="24"/>
          <w:lang w:val="en-US"/>
        </w:rPr>
        <w:t xml:space="preserve">Table 2 presents the same information, but for state funded specialist places in Ashford.  </w:t>
      </w:r>
      <w:r w:rsidR="00F343EA" w:rsidRPr="009B19FA">
        <w:rPr>
          <w:rFonts w:ascii="Arial" w:hAnsi="Arial" w:cs="Arial"/>
          <w:sz w:val="24"/>
          <w:szCs w:val="24"/>
          <w:lang w:val="en-US"/>
        </w:rPr>
        <w:t>The total specialist capacity in Ashford as of January 2023 was 624.  As of May 2024, there were 630 pupils on roll, 6 above the total capacity</w:t>
      </w:r>
      <w:r w:rsidR="009B19FA">
        <w:rPr>
          <w:rFonts w:ascii="Arial" w:hAnsi="Arial" w:cs="Arial"/>
          <w:sz w:val="24"/>
          <w:szCs w:val="24"/>
          <w:lang w:val="en-US"/>
        </w:rPr>
        <w:t>.</w:t>
      </w:r>
    </w:p>
    <w:p w14:paraId="415196C8" w14:textId="77777777" w:rsidR="00A86F31" w:rsidRDefault="00A86F31" w:rsidP="00F343EA">
      <w:pPr>
        <w:rPr>
          <w:rFonts w:ascii="Arial" w:hAnsi="Arial" w:cs="Arial"/>
          <w:i/>
          <w:iCs/>
          <w:sz w:val="24"/>
          <w:szCs w:val="24"/>
          <w:lang w:val="en-US"/>
        </w:rPr>
      </w:pPr>
    </w:p>
    <w:p w14:paraId="427BF742" w14:textId="77777777" w:rsidR="00A86F31" w:rsidRDefault="00A86F31" w:rsidP="00F343EA">
      <w:pPr>
        <w:rPr>
          <w:rFonts w:ascii="Arial" w:hAnsi="Arial" w:cs="Arial"/>
          <w:i/>
          <w:iCs/>
          <w:sz w:val="24"/>
          <w:szCs w:val="24"/>
        </w:rPr>
      </w:pPr>
    </w:p>
    <w:p w14:paraId="551E30BC" w14:textId="77777777" w:rsidR="00A86F31" w:rsidRDefault="00A86F31" w:rsidP="00F343EA">
      <w:pPr>
        <w:rPr>
          <w:rFonts w:ascii="Arial" w:hAnsi="Arial" w:cs="Arial"/>
          <w:i/>
          <w:iCs/>
          <w:sz w:val="24"/>
          <w:szCs w:val="24"/>
          <w:lang w:val="en-US"/>
        </w:rPr>
      </w:pPr>
    </w:p>
    <w:p w14:paraId="7B9B85DE" w14:textId="28C97F1C" w:rsidR="009B19FA" w:rsidRPr="00F7585F" w:rsidRDefault="009B19FA" w:rsidP="00F343EA">
      <w:pPr>
        <w:rPr>
          <w:rFonts w:ascii="Arial" w:hAnsi="Arial" w:cs="Arial"/>
          <w:i/>
          <w:iCs/>
          <w:sz w:val="24"/>
          <w:szCs w:val="24"/>
          <w:lang w:val="en-US"/>
        </w:rPr>
      </w:pPr>
      <w:r w:rsidRPr="00F7585F">
        <w:rPr>
          <w:rFonts w:ascii="Arial" w:hAnsi="Arial" w:cs="Arial"/>
          <w:i/>
          <w:iCs/>
          <w:sz w:val="24"/>
          <w:szCs w:val="24"/>
          <w:lang w:val="en-US"/>
        </w:rPr>
        <w:lastRenderedPageBreak/>
        <w:t>Table 2: State funded specialist provision in Ashford</w:t>
      </w:r>
    </w:p>
    <w:p w14:paraId="4F5011B4" w14:textId="77777777" w:rsidR="00636C3E" w:rsidRPr="00636C3E" w:rsidRDefault="00636C3E" w:rsidP="00F343EA">
      <w:pPr>
        <w:rPr>
          <w:rFonts w:ascii="Arial" w:hAnsi="Arial" w:cs="Arial"/>
          <w:sz w:val="24"/>
          <w:szCs w:val="24"/>
          <w:lang w:val="en-US"/>
        </w:rPr>
      </w:pPr>
    </w:p>
    <w:tbl>
      <w:tblPr>
        <w:tblW w:w="8977" w:type="dxa"/>
        <w:tblInd w:w="-5" w:type="dxa"/>
        <w:tblLook w:val="04A0" w:firstRow="1" w:lastRow="0" w:firstColumn="1" w:lastColumn="0" w:noHBand="0" w:noVBand="1"/>
      </w:tblPr>
      <w:tblGrid>
        <w:gridCol w:w="4536"/>
        <w:gridCol w:w="1560"/>
        <w:gridCol w:w="1275"/>
        <w:gridCol w:w="1606"/>
      </w:tblGrid>
      <w:tr w:rsidR="00F343EA" w:rsidRPr="006C0A7D" w14:paraId="7D4015E5" w14:textId="77777777" w:rsidTr="009B19FA">
        <w:trPr>
          <w:trHeight w:val="320"/>
        </w:trPr>
        <w:tc>
          <w:tcPr>
            <w:tcW w:w="4536"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AC574A7" w14:textId="77777777" w:rsidR="00F343EA" w:rsidRPr="006C0A7D" w:rsidRDefault="00F343EA">
            <w:pPr>
              <w:rPr>
                <w:rFonts w:asciiTheme="minorBidi" w:eastAsia="Times New Roman" w:hAnsiTheme="minorBidi" w:cstheme="minorBidi"/>
                <w:b/>
                <w:bCs/>
                <w:sz w:val="20"/>
                <w:szCs w:val="20"/>
                <w:lang w:eastAsia="en-GB"/>
                <w14:ligatures w14:val="none"/>
              </w:rPr>
            </w:pPr>
            <w:r w:rsidRPr="006C0A7D">
              <w:rPr>
                <w:rFonts w:asciiTheme="minorBidi" w:eastAsia="Times New Roman" w:hAnsiTheme="minorBidi" w:cstheme="minorBidi"/>
                <w:b/>
                <w:bCs/>
                <w:sz w:val="20"/>
                <w:szCs w:val="20"/>
                <w:lang w:eastAsia="en-GB"/>
                <w14:ligatures w14:val="none"/>
              </w:rPr>
              <w:t>School</w:t>
            </w:r>
          </w:p>
        </w:tc>
        <w:tc>
          <w:tcPr>
            <w:tcW w:w="1560" w:type="dxa"/>
            <w:tcBorders>
              <w:top w:val="single" w:sz="4" w:space="0" w:color="auto"/>
              <w:left w:val="nil"/>
              <w:bottom w:val="single" w:sz="4" w:space="0" w:color="auto"/>
              <w:right w:val="single" w:sz="4" w:space="0" w:color="auto"/>
            </w:tcBorders>
            <w:shd w:val="clear" w:color="auto" w:fill="FFC000"/>
            <w:vAlign w:val="center"/>
            <w:hideMark/>
          </w:tcPr>
          <w:p w14:paraId="5418E855" w14:textId="77777777" w:rsidR="00F343EA" w:rsidRPr="006C0A7D" w:rsidRDefault="00F343EA">
            <w:pPr>
              <w:jc w:val="center"/>
              <w:rPr>
                <w:rFonts w:asciiTheme="minorBidi" w:eastAsia="Times New Roman" w:hAnsiTheme="minorBidi" w:cstheme="minorBidi"/>
                <w:b/>
                <w:bCs/>
                <w:sz w:val="20"/>
                <w:szCs w:val="20"/>
                <w:lang w:eastAsia="en-GB"/>
                <w14:ligatures w14:val="none"/>
              </w:rPr>
            </w:pPr>
            <w:r>
              <w:rPr>
                <w:rFonts w:asciiTheme="minorBidi" w:eastAsia="Times New Roman" w:hAnsiTheme="minorBidi" w:cstheme="minorBidi"/>
                <w:b/>
                <w:bCs/>
                <w:sz w:val="20"/>
                <w:szCs w:val="20"/>
                <w:lang w:eastAsia="en-GB"/>
                <w14:ligatures w14:val="none"/>
              </w:rPr>
              <w:t>Total Capacity</w:t>
            </w:r>
            <w:r w:rsidRPr="00EC45D5">
              <w:rPr>
                <w:rFonts w:asciiTheme="minorBidi" w:eastAsia="Times New Roman" w:hAnsiTheme="minorBidi" w:cstheme="minorBidi"/>
                <w:b/>
                <w:bCs/>
                <w:sz w:val="20"/>
                <w:szCs w:val="20"/>
                <w:lang w:eastAsia="en-GB"/>
                <w14:ligatures w14:val="none"/>
              </w:rPr>
              <w:t xml:space="preserve"> *</w:t>
            </w:r>
          </w:p>
        </w:tc>
        <w:tc>
          <w:tcPr>
            <w:tcW w:w="1275" w:type="dxa"/>
            <w:tcBorders>
              <w:top w:val="single" w:sz="4" w:space="0" w:color="auto"/>
              <w:left w:val="nil"/>
              <w:bottom w:val="single" w:sz="4" w:space="0" w:color="auto"/>
              <w:right w:val="single" w:sz="4" w:space="0" w:color="auto"/>
            </w:tcBorders>
            <w:shd w:val="clear" w:color="auto" w:fill="FFC000"/>
            <w:vAlign w:val="center"/>
            <w:hideMark/>
          </w:tcPr>
          <w:p w14:paraId="5A95F186" w14:textId="77777777" w:rsidR="00F343EA" w:rsidRPr="006C0A7D" w:rsidRDefault="00F343EA">
            <w:pPr>
              <w:rPr>
                <w:rFonts w:asciiTheme="minorBidi" w:eastAsia="Times New Roman" w:hAnsiTheme="minorBidi" w:cstheme="minorBidi"/>
                <w:sz w:val="20"/>
                <w:szCs w:val="20"/>
                <w:lang w:eastAsia="en-GB"/>
                <w14:ligatures w14:val="none"/>
              </w:rPr>
            </w:pPr>
            <w:r w:rsidRPr="009B19FA">
              <w:rPr>
                <w:rFonts w:asciiTheme="minorBidi" w:eastAsia="Times New Roman" w:hAnsiTheme="minorBidi" w:cstheme="minorBidi"/>
                <w:b/>
                <w:bCs/>
                <w:sz w:val="20"/>
                <w:szCs w:val="20"/>
                <w:lang w:eastAsia="en-GB"/>
                <w14:ligatures w14:val="none"/>
              </w:rPr>
              <w:t>Roll</w:t>
            </w:r>
            <w:r w:rsidRPr="009B19FA">
              <w:rPr>
                <w:rFonts w:asciiTheme="minorBidi" w:eastAsia="Times New Roman" w:hAnsiTheme="minorBidi" w:cstheme="minorBidi"/>
                <w:b/>
                <w:bCs/>
                <w:sz w:val="20"/>
                <w:szCs w:val="20"/>
                <w:lang w:eastAsia="en-GB"/>
                <w14:ligatures w14:val="none"/>
              </w:rPr>
              <w:br/>
              <w:t>May 2024</w:t>
            </w:r>
          </w:p>
        </w:tc>
        <w:tc>
          <w:tcPr>
            <w:tcW w:w="1606" w:type="dxa"/>
            <w:tcBorders>
              <w:top w:val="single" w:sz="4" w:space="0" w:color="auto"/>
              <w:left w:val="nil"/>
              <w:bottom w:val="single" w:sz="4" w:space="0" w:color="auto"/>
              <w:right w:val="single" w:sz="4" w:space="0" w:color="auto"/>
            </w:tcBorders>
            <w:shd w:val="clear" w:color="auto" w:fill="FFC000"/>
            <w:vAlign w:val="center"/>
            <w:hideMark/>
          </w:tcPr>
          <w:p w14:paraId="455F8A0E" w14:textId="23906BCA" w:rsidR="00F343EA" w:rsidRPr="006C0A7D" w:rsidRDefault="00F343EA">
            <w:pP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br/>
            </w:r>
            <w:r w:rsidR="009B19FA">
              <w:rPr>
                <w:rFonts w:asciiTheme="minorBidi" w:eastAsia="Times New Roman" w:hAnsiTheme="minorBidi" w:cstheme="minorBidi"/>
                <w:b/>
                <w:bCs/>
                <w:sz w:val="20"/>
                <w:szCs w:val="20"/>
                <w:lang w:eastAsia="en-GB"/>
                <w14:ligatures w14:val="none"/>
              </w:rPr>
              <w:t>Surplus/deficit places</w:t>
            </w:r>
          </w:p>
        </w:tc>
      </w:tr>
      <w:tr w:rsidR="00F343EA" w:rsidRPr="006C0A7D" w14:paraId="77A11666" w14:textId="77777777" w:rsidTr="009B19FA">
        <w:trPr>
          <w:trHeight w:val="32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4F817" w14:textId="77777777" w:rsidR="00F343EA" w:rsidRPr="006C0A7D" w:rsidRDefault="00F343EA">
            <w:pPr>
              <w:rPr>
                <w:rFonts w:asciiTheme="minorBidi" w:eastAsia="Times New Roman" w:hAnsiTheme="minorBidi" w:cstheme="minorBidi"/>
                <w:color w:val="000000"/>
                <w:sz w:val="20"/>
                <w:szCs w:val="20"/>
                <w:lang w:eastAsia="en-GB"/>
                <w14:ligatures w14:val="none"/>
              </w:rPr>
            </w:pPr>
            <w:r w:rsidRPr="006C0A7D">
              <w:rPr>
                <w:rFonts w:asciiTheme="minorBidi" w:eastAsia="Times New Roman" w:hAnsiTheme="minorBidi" w:cstheme="minorBidi"/>
                <w:color w:val="000000"/>
                <w:sz w:val="20"/>
                <w:szCs w:val="20"/>
                <w:lang w:eastAsia="en-GB"/>
                <w14:ligatures w14:val="none"/>
              </w:rPr>
              <w:t>Goldwyn Community Special School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3FE549C" w14:textId="77777777"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203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F00BEBC" w14:textId="77777777"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202</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3AA218E0" w14:textId="6CACFB67"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1</w:t>
            </w:r>
          </w:p>
        </w:tc>
      </w:tr>
      <w:tr w:rsidR="00F343EA" w:rsidRPr="006C0A7D" w14:paraId="6F0BFC29" w14:textId="77777777" w:rsidTr="009B19FA">
        <w:trPr>
          <w:trHeight w:val="32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9E53CC4" w14:textId="77777777" w:rsidR="00F343EA" w:rsidRPr="006C0A7D" w:rsidRDefault="00F343EA">
            <w:pPr>
              <w:rPr>
                <w:rFonts w:asciiTheme="minorBidi" w:eastAsia="Times New Roman" w:hAnsiTheme="minorBidi" w:cstheme="minorBidi"/>
                <w:color w:val="000000"/>
                <w:sz w:val="20"/>
                <w:szCs w:val="20"/>
                <w:lang w:eastAsia="en-GB"/>
                <w14:ligatures w14:val="none"/>
              </w:rPr>
            </w:pPr>
            <w:r w:rsidRPr="006C0A7D">
              <w:rPr>
                <w:rFonts w:asciiTheme="minorBidi" w:eastAsia="Times New Roman" w:hAnsiTheme="minorBidi" w:cstheme="minorBidi"/>
                <w:color w:val="000000"/>
                <w:sz w:val="20"/>
                <w:szCs w:val="20"/>
                <w:lang w:eastAsia="en-GB"/>
                <w14:ligatures w14:val="none"/>
              </w:rPr>
              <w:t>The Wyvern School</w:t>
            </w:r>
          </w:p>
        </w:tc>
        <w:tc>
          <w:tcPr>
            <w:tcW w:w="1560" w:type="dxa"/>
            <w:tcBorders>
              <w:top w:val="nil"/>
              <w:left w:val="nil"/>
              <w:bottom w:val="single" w:sz="4" w:space="0" w:color="auto"/>
              <w:right w:val="single" w:sz="4" w:space="0" w:color="auto"/>
            </w:tcBorders>
            <w:shd w:val="clear" w:color="auto" w:fill="auto"/>
            <w:vAlign w:val="center"/>
            <w:hideMark/>
          </w:tcPr>
          <w:p w14:paraId="6A5912D4" w14:textId="77777777"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349</w:t>
            </w:r>
          </w:p>
        </w:tc>
        <w:tc>
          <w:tcPr>
            <w:tcW w:w="1275" w:type="dxa"/>
            <w:tcBorders>
              <w:top w:val="nil"/>
              <w:left w:val="nil"/>
              <w:bottom w:val="single" w:sz="4" w:space="0" w:color="auto"/>
              <w:right w:val="single" w:sz="4" w:space="0" w:color="auto"/>
            </w:tcBorders>
            <w:shd w:val="clear" w:color="auto" w:fill="auto"/>
            <w:vAlign w:val="center"/>
            <w:hideMark/>
          </w:tcPr>
          <w:p w14:paraId="763430F2" w14:textId="77777777"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362</w:t>
            </w:r>
          </w:p>
        </w:tc>
        <w:tc>
          <w:tcPr>
            <w:tcW w:w="1606" w:type="dxa"/>
            <w:tcBorders>
              <w:top w:val="nil"/>
              <w:left w:val="nil"/>
              <w:bottom w:val="single" w:sz="4" w:space="0" w:color="auto"/>
              <w:right w:val="single" w:sz="4" w:space="0" w:color="auto"/>
            </w:tcBorders>
            <w:shd w:val="clear" w:color="auto" w:fill="FF0000"/>
            <w:vAlign w:val="center"/>
            <w:hideMark/>
          </w:tcPr>
          <w:p w14:paraId="4B469D43" w14:textId="433593E8" w:rsidR="00F343EA" w:rsidRPr="006C0A7D" w:rsidRDefault="009B19FA">
            <w:pPr>
              <w:jc w:val="center"/>
              <w:rPr>
                <w:rFonts w:asciiTheme="minorBidi" w:eastAsia="Times New Roman" w:hAnsiTheme="minorBidi" w:cstheme="minorBidi"/>
                <w:sz w:val="20"/>
                <w:szCs w:val="20"/>
                <w:lang w:eastAsia="en-GB"/>
                <w14:ligatures w14:val="none"/>
              </w:rPr>
            </w:pPr>
            <w:r w:rsidRPr="009B19FA">
              <w:rPr>
                <w:rFonts w:asciiTheme="minorBidi" w:eastAsia="Times New Roman" w:hAnsiTheme="minorBidi" w:cstheme="minorBidi"/>
                <w:sz w:val="20"/>
                <w:szCs w:val="20"/>
                <w:lang w:eastAsia="en-GB"/>
                <w14:ligatures w14:val="none"/>
              </w:rPr>
              <w:t>-</w:t>
            </w:r>
            <w:r w:rsidR="00F343EA" w:rsidRPr="009B19FA">
              <w:rPr>
                <w:rFonts w:asciiTheme="minorBidi" w:eastAsia="Times New Roman" w:hAnsiTheme="minorBidi" w:cstheme="minorBidi"/>
                <w:sz w:val="20"/>
                <w:szCs w:val="20"/>
                <w:lang w:eastAsia="en-GB"/>
                <w14:ligatures w14:val="none"/>
              </w:rPr>
              <w:t>13</w:t>
            </w:r>
          </w:p>
        </w:tc>
      </w:tr>
      <w:tr w:rsidR="00F343EA" w:rsidRPr="006C0A7D" w14:paraId="67553648" w14:textId="77777777" w:rsidTr="009B19FA">
        <w:trPr>
          <w:trHeight w:val="106"/>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9D5B585" w14:textId="77777777" w:rsidR="00F343EA" w:rsidRPr="006C0A7D" w:rsidRDefault="00F343EA">
            <w:pPr>
              <w:rPr>
                <w:rFonts w:asciiTheme="minorBidi" w:eastAsia="Times New Roman" w:hAnsiTheme="minorBidi" w:cstheme="minorBidi"/>
                <w:color w:val="000000"/>
                <w:sz w:val="20"/>
                <w:szCs w:val="20"/>
                <w:lang w:eastAsia="en-GB"/>
                <w14:ligatures w14:val="none"/>
              </w:rPr>
            </w:pPr>
            <w:r w:rsidRPr="006C0A7D">
              <w:rPr>
                <w:rFonts w:asciiTheme="minorBidi" w:eastAsia="Times New Roman" w:hAnsiTheme="minorBidi" w:cstheme="minorBidi"/>
                <w:color w:val="000000"/>
                <w:sz w:val="20"/>
                <w:szCs w:val="20"/>
                <w:lang w:eastAsia="en-GB"/>
                <w14:ligatures w14:val="none"/>
              </w:rPr>
              <w:t>Ashford Oaks Primary School</w:t>
            </w:r>
          </w:p>
        </w:tc>
        <w:tc>
          <w:tcPr>
            <w:tcW w:w="1560" w:type="dxa"/>
            <w:tcBorders>
              <w:top w:val="nil"/>
              <w:left w:val="nil"/>
              <w:bottom w:val="single" w:sz="4" w:space="0" w:color="auto"/>
              <w:right w:val="single" w:sz="4" w:space="0" w:color="auto"/>
            </w:tcBorders>
            <w:shd w:val="clear" w:color="auto" w:fill="auto"/>
            <w:vAlign w:val="center"/>
            <w:hideMark/>
          </w:tcPr>
          <w:p w14:paraId="56A17646" w14:textId="77777777"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14</w:t>
            </w:r>
          </w:p>
        </w:tc>
        <w:tc>
          <w:tcPr>
            <w:tcW w:w="1275" w:type="dxa"/>
            <w:tcBorders>
              <w:top w:val="nil"/>
              <w:left w:val="nil"/>
              <w:bottom w:val="single" w:sz="4" w:space="0" w:color="auto"/>
              <w:right w:val="single" w:sz="4" w:space="0" w:color="auto"/>
            </w:tcBorders>
            <w:shd w:val="clear" w:color="auto" w:fill="auto"/>
            <w:vAlign w:val="center"/>
            <w:hideMark/>
          </w:tcPr>
          <w:p w14:paraId="0B4335CC" w14:textId="77777777"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13</w:t>
            </w:r>
          </w:p>
        </w:tc>
        <w:tc>
          <w:tcPr>
            <w:tcW w:w="1606" w:type="dxa"/>
            <w:tcBorders>
              <w:top w:val="nil"/>
              <w:left w:val="nil"/>
              <w:bottom w:val="single" w:sz="4" w:space="0" w:color="auto"/>
              <w:right w:val="single" w:sz="4" w:space="0" w:color="auto"/>
            </w:tcBorders>
            <w:shd w:val="clear" w:color="auto" w:fill="auto"/>
            <w:vAlign w:val="center"/>
            <w:hideMark/>
          </w:tcPr>
          <w:p w14:paraId="2C7388D6" w14:textId="7977FDED"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1</w:t>
            </w:r>
          </w:p>
        </w:tc>
      </w:tr>
      <w:tr w:rsidR="00F343EA" w:rsidRPr="006C0A7D" w14:paraId="40D19187" w14:textId="77777777" w:rsidTr="009B19FA">
        <w:trPr>
          <w:trHeight w:val="106"/>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B105F5E" w14:textId="77777777" w:rsidR="00F343EA" w:rsidRPr="006C0A7D" w:rsidRDefault="00F343EA">
            <w:pPr>
              <w:rPr>
                <w:rFonts w:asciiTheme="minorBidi" w:eastAsia="Times New Roman" w:hAnsiTheme="minorBidi" w:cstheme="minorBidi"/>
                <w:color w:val="000000"/>
                <w:sz w:val="20"/>
                <w:szCs w:val="20"/>
                <w:lang w:eastAsia="en-GB"/>
                <w14:ligatures w14:val="none"/>
              </w:rPr>
            </w:pPr>
            <w:r w:rsidRPr="006C0A7D">
              <w:rPr>
                <w:rFonts w:asciiTheme="minorBidi" w:eastAsia="Times New Roman" w:hAnsiTheme="minorBidi" w:cstheme="minorBidi"/>
                <w:color w:val="000000"/>
                <w:sz w:val="20"/>
                <w:szCs w:val="20"/>
                <w:lang w:eastAsia="en-GB"/>
                <w14:ligatures w14:val="none"/>
              </w:rPr>
              <w:t>Chilmington Green Primary School</w:t>
            </w:r>
          </w:p>
        </w:tc>
        <w:tc>
          <w:tcPr>
            <w:tcW w:w="1560" w:type="dxa"/>
            <w:tcBorders>
              <w:top w:val="nil"/>
              <w:left w:val="nil"/>
              <w:bottom w:val="single" w:sz="4" w:space="0" w:color="auto"/>
              <w:right w:val="single" w:sz="4" w:space="0" w:color="auto"/>
            </w:tcBorders>
            <w:shd w:val="clear" w:color="auto" w:fill="auto"/>
            <w:vAlign w:val="center"/>
            <w:hideMark/>
          </w:tcPr>
          <w:p w14:paraId="4E27729D" w14:textId="77777777"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8</w:t>
            </w:r>
          </w:p>
        </w:tc>
        <w:tc>
          <w:tcPr>
            <w:tcW w:w="1275" w:type="dxa"/>
            <w:tcBorders>
              <w:top w:val="nil"/>
              <w:left w:val="nil"/>
              <w:bottom w:val="single" w:sz="4" w:space="0" w:color="auto"/>
              <w:right w:val="single" w:sz="4" w:space="0" w:color="auto"/>
            </w:tcBorders>
            <w:shd w:val="clear" w:color="auto" w:fill="auto"/>
            <w:vAlign w:val="center"/>
            <w:hideMark/>
          </w:tcPr>
          <w:p w14:paraId="5A64C63A" w14:textId="77777777"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8</w:t>
            </w:r>
          </w:p>
        </w:tc>
        <w:tc>
          <w:tcPr>
            <w:tcW w:w="1606" w:type="dxa"/>
            <w:tcBorders>
              <w:top w:val="nil"/>
              <w:left w:val="nil"/>
              <w:bottom w:val="single" w:sz="4" w:space="0" w:color="auto"/>
              <w:right w:val="single" w:sz="4" w:space="0" w:color="auto"/>
            </w:tcBorders>
            <w:shd w:val="clear" w:color="auto" w:fill="auto"/>
            <w:vAlign w:val="center"/>
            <w:hideMark/>
          </w:tcPr>
          <w:p w14:paraId="67158D10" w14:textId="77777777"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0</w:t>
            </w:r>
          </w:p>
        </w:tc>
      </w:tr>
      <w:tr w:rsidR="00F343EA" w:rsidRPr="006C0A7D" w14:paraId="0104108D" w14:textId="77777777" w:rsidTr="009B19FA">
        <w:trPr>
          <w:trHeight w:val="106"/>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2C8C567" w14:textId="77777777" w:rsidR="00F343EA" w:rsidRPr="006C0A7D" w:rsidRDefault="00F343EA">
            <w:pPr>
              <w:rPr>
                <w:rFonts w:asciiTheme="minorBidi" w:eastAsia="Times New Roman" w:hAnsiTheme="minorBidi" w:cstheme="minorBidi"/>
                <w:color w:val="000000"/>
                <w:sz w:val="20"/>
                <w:szCs w:val="20"/>
                <w:lang w:eastAsia="en-GB"/>
                <w14:ligatures w14:val="none"/>
              </w:rPr>
            </w:pPr>
            <w:r w:rsidRPr="006C0A7D">
              <w:rPr>
                <w:rFonts w:asciiTheme="minorBidi" w:eastAsia="Times New Roman" w:hAnsiTheme="minorBidi" w:cstheme="minorBidi"/>
                <w:color w:val="000000"/>
                <w:sz w:val="20"/>
                <w:szCs w:val="20"/>
                <w:lang w:eastAsia="en-GB"/>
                <w14:ligatures w14:val="none"/>
              </w:rPr>
              <w:t>Finberry Primary School</w:t>
            </w:r>
          </w:p>
        </w:tc>
        <w:tc>
          <w:tcPr>
            <w:tcW w:w="1560" w:type="dxa"/>
            <w:tcBorders>
              <w:top w:val="nil"/>
              <w:left w:val="nil"/>
              <w:bottom w:val="single" w:sz="4" w:space="0" w:color="auto"/>
              <w:right w:val="single" w:sz="4" w:space="0" w:color="auto"/>
            </w:tcBorders>
            <w:shd w:val="clear" w:color="auto" w:fill="auto"/>
            <w:vAlign w:val="center"/>
            <w:hideMark/>
          </w:tcPr>
          <w:p w14:paraId="2B49E6B2" w14:textId="77777777"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11</w:t>
            </w:r>
          </w:p>
        </w:tc>
        <w:tc>
          <w:tcPr>
            <w:tcW w:w="1275" w:type="dxa"/>
            <w:tcBorders>
              <w:top w:val="nil"/>
              <w:left w:val="nil"/>
              <w:bottom w:val="single" w:sz="4" w:space="0" w:color="auto"/>
              <w:right w:val="single" w:sz="4" w:space="0" w:color="auto"/>
            </w:tcBorders>
            <w:shd w:val="clear" w:color="auto" w:fill="auto"/>
            <w:vAlign w:val="center"/>
            <w:hideMark/>
          </w:tcPr>
          <w:p w14:paraId="4D24122E" w14:textId="77777777"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8</w:t>
            </w:r>
          </w:p>
        </w:tc>
        <w:tc>
          <w:tcPr>
            <w:tcW w:w="1606" w:type="dxa"/>
            <w:tcBorders>
              <w:top w:val="nil"/>
              <w:left w:val="nil"/>
              <w:bottom w:val="single" w:sz="4" w:space="0" w:color="auto"/>
              <w:right w:val="single" w:sz="4" w:space="0" w:color="auto"/>
            </w:tcBorders>
            <w:shd w:val="clear" w:color="auto" w:fill="auto"/>
            <w:vAlign w:val="center"/>
            <w:hideMark/>
          </w:tcPr>
          <w:p w14:paraId="7BDA4E8A" w14:textId="0B55545A"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3</w:t>
            </w:r>
          </w:p>
        </w:tc>
      </w:tr>
      <w:tr w:rsidR="00F343EA" w:rsidRPr="006C0A7D" w14:paraId="4F4F5743" w14:textId="77777777" w:rsidTr="009B19FA">
        <w:trPr>
          <w:trHeight w:val="16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3FBB3FD" w14:textId="77777777" w:rsidR="00F343EA" w:rsidRPr="006C0A7D" w:rsidRDefault="00F343EA">
            <w:pPr>
              <w:rPr>
                <w:rFonts w:asciiTheme="minorBidi" w:eastAsia="Times New Roman" w:hAnsiTheme="minorBidi" w:cstheme="minorBidi"/>
                <w:color w:val="000000"/>
                <w:sz w:val="20"/>
                <w:szCs w:val="20"/>
                <w:lang w:eastAsia="en-GB"/>
                <w14:ligatures w14:val="none"/>
              </w:rPr>
            </w:pPr>
            <w:r w:rsidRPr="006C0A7D">
              <w:rPr>
                <w:rFonts w:asciiTheme="minorBidi" w:eastAsia="Times New Roman" w:hAnsiTheme="minorBidi" w:cstheme="minorBidi"/>
                <w:color w:val="000000"/>
                <w:sz w:val="20"/>
                <w:szCs w:val="20"/>
                <w:lang w:eastAsia="en-GB"/>
                <w14:ligatures w14:val="none"/>
              </w:rPr>
              <w:t>John Wesley CE and Methodist Primary School</w:t>
            </w:r>
          </w:p>
        </w:tc>
        <w:tc>
          <w:tcPr>
            <w:tcW w:w="1560" w:type="dxa"/>
            <w:tcBorders>
              <w:top w:val="nil"/>
              <w:left w:val="nil"/>
              <w:bottom w:val="single" w:sz="4" w:space="0" w:color="auto"/>
              <w:right w:val="single" w:sz="4" w:space="0" w:color="auto"/>
            </w:tcBorders>
            <w:shd w:val="clear" w:color="auto" w:fill="auto"/>
            <w:vAlign w:val="center"/>
            <w:hideMark/>
          </w:tcPr>
          <w:p w14:paraId="3A349E52" w14:textId="77777777"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10</w:t>
            </w:r>
          </w:p>
        </w:tc>
        <w:tc>
          <w:tcPr>
            <w:tcW w:w="1275" w:type="dxa"/>
            <w:tcBorders>
              <w:top w:val="nil"/>
              <w:left w:val="nil"/>
              <w:bottom w:val="single" w:sz="4" w:space="0" w:color="auto"/>
              <w:right w:val="single" w:sz="4" w:space="0" w:color="auto"/>
            </w:tcBorders>
            <w:shd w:val="clear" w:color="auto" w:fill="auto"/>
            <w:vAlign w:val="center"/>
            <w:hideMark/>
          </w:tcPr>
          <w:p w14:paraId="0FAA719E" w14:textId="77777777"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10</w:t>
            </w:r>
          </w:p>
        </w:tc>
        <w:tc>
          <w:tcPr>
            <w:tcW w:w="1606" w:type="dxa"/>
            <w:tcBorders>
              <w:top w:val="nil"/>
              <w:left w:val="nil"/>
              <w:bottom w:val="single" w:sz="4" w:space="0" w:color="auto"/>
              <w:right w:val="single" w:sz="4" w:space="0" w:color="auto"/>
            </w:tcBorders>
            <w:shd w:val="clear" w:color="auto" w:fill="auto"/>
            <w:vAlign w:val="center"/>
            <w:hideMark/>
          </w:tcPr>
          <w:p w14:paraId="18D570A6" w14:textId="77777777"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0</w:t>
            </w:r>
          </w:p>
        </w:tc>
      </w:tr>
      <w:tr w:rsidR="00F343EA" w:rsidRPr="006C0A7D" w14:paraId="615088D5" w14:textId="77777777" w:rsidTr="009B19FA">
        <w:trPr>
          <w:trHeight w:val="106"/>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1D37FB4" w14:textId="77777777" w:rsidR="00F343EA" w:rsidRPr="006C0A7D" w:rsidRDefault="00F343EA">
            <w:pPr>
              <w:rPr>
                <w:rFonts w:asciiTheme="minorBidi" w:eastAsia="Times New Roman" w:hAnsiTheme="minorBidi" w:cstheme="minorBidi"/>
                <w:color w:val="000000"/>
                <w:sz w:val="20"/>
                <w:szCs w:val="20"/>
                <w:lang w:eastAsia="en-GB"/>
                <w14:ligatures w14:val="none"/>
              </w:rPr>
            </w:pPr>
            <w:r w:rsidRPr="006C0A7D">
              <w:rPr>
                <w:rFonts w:asciiTheme="minorBidi" w:eastAsia="Times New Roman" w:hAnsiTheme="minorBidi" w:cstheme="minorBidi"/>
                <w:color w:val="000000"/>
                <w:sz w:val="20"/>
                <w:szCs w:val="20"/>
                <w:lang w:eastAsia="en-GB"/>
                <w14:ligatures w14:val="none"/>
              </w:rPr>
              <w:t>North School</w:t>
            </w:r>
          </w:p>
        </w:tc>
        <w:tc>
          <w:tcPr>
            <w:tcW w:w="1560" w:type="dxa"/>
            <w:tcBorders>
              <w:top w:val="nil"/>
              <w:left w:val="nil"/>
              <w:bottom w:val="single" w:sz="4" w:space="0" w:color="auto"/>
              <w:right w:val="single" w:sz="4" w:space="0" w:color="auto"/>
            </w:tcBorders>
            <w:shd w:val="clear" w:color="auto" w:fill="auto"/>
            <w:vAlign w:val="center"/>
            <w:hideMark/>
          </w:tcPr>
          <w:p w14:paraId="19D6F87B" w14:textId="77777777"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29</w:t>
            </w:r>
          </w:p>
        </w:tc>
        <w:tc>
          <w:tcPr>
            <w:tcW w:w="1275" w:type="dxa"/>
            <w:tcBorders>
              <w:top w:val="nil"/>
              <w:left w:val="nil"/>
              <w:bottom w:val="single" w:sz="4" w:space="0" w:color="auto"/>
              <w:right w:val="single" w:sz="4" w:space="0" w:color="auto"/>
            </w:tcBorders>
            <w:shd w:val="clear" w:color="auto" w:fill="auto"/>
            <w:vAlign w:val="center"/>
            <w:hideMark/>
          </w:tcPr>
          <w:p w14:paraId="67074339" w14:textId="77777777"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27</w:t>
            </w:r>
          </w:p>
        </w:tc>
        <w:tc>
          <w:tcPr>
            <w:tcW w:w="1606" w:type="dxa"/>
            <w:tcBorders>
              <w:top w:val="nil"/>
              <w:left w:val="nil"/>
              <w:bottom w:val="single" w:sz="4" w:space="0" w:color="auto"/>
              <w:right w:val="single" w:sz="4" w:space="0" w:color="auto"/>
            </w:tcBorders>
            <w:shd w:val="clear" w:color="auto" w:fill="auto"/>
            <w:vAlign w:val="center"/>
            <w:hideMark/>
          </w:tcPr>
          <w:p w14:paraId="1CAAD8EC" w14:textId="6391BFDC" w:rsidR="00F343EA" w:rsidRPr="006C0A7D" w:rsidRDefault="00F343EA">
            <w:pPr>
              <w:jc w:val="center"/>
              <w:rPr>
                <w:rFonts w:asciiTheme="minorBidi" w:eastAsia="Times New Roman" w:hAnsiTheme="minorBidi" w:cstheme="minorBidi"/>
                <w:sz w:val="20"/>
                <w:szCs w:val="20"/>
                <w:lang w:eastAsia="en-GB"/>
                <w14:ligatures w14:val="none"/>
              </w:rPr>
            </w:pPr>
            <w:r w:rsidRPr="006C0A7D">
              <w:rPr>
                <w:rFonts w:asciiTheme="minorBidi" w:eastAsia="Times New Roman" w:hAnsiTheme="minorBidi" w:cstheme="minorBidi"/>
                <w:sz w:val="20"/>
                <w:szCs w:val="20"/>
                <w:lang w:eastAsia="en-GB"/>
                <w14:ligatures w14:val="none"/>
              </w:rPr>
              <w:t>2</w:t>
            </w:r>
          </w:p>
        </w:tc>
      </w:tr>
      <w:tr w:rsidR="00F343EA" w:rsidRPr="00303DF8" w14:paraId="28663556" w14:textId="77777777" w:rsidTr="009B19FA">
        <w:trPr>
          <w:trHeight w:val="106"/>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699E4EEF" w14:textId="697A397B" w:rsidR="00F343EA" w:rsidRPr="006C0A7D" w:rsidRDefault="00F343EA">
            <w:pPr>
              <w:rPr>
                <w:rFonts w:asciiTheme="minorBidi" w:eastAsia="Times New Roman" w:hAnsiTheme="minorBidi" w:cstheme="minorBidi"/>
                <w:b/>
                <w:bCs/>
                <w:sz w:val="20"/>
                <w:szCs w:val="20"/>
                <w:lang w:eastAsia="en-GB"/>
                <w14:ligatures w14:val="none"/>
              </w:rPr>
            </w:pPr>
            <w:r w:rsidRPr="00303DF8">
              <w:rPr>
                <w:rFonts w:asciiTheme="minorBidi" w:eastAsia="Times New Roman" w:hAnsiTheme="minorBidi" w:cstheme="minorBidi"/>
                <w:b/>
                <w:bCs/>
                <w:sz w:val="20"/>
                <w:szCs w:val="20"/>
                <w:lang w:eastAsia="en-GB"/>
                <w14:ligatures w14:val="none"/>
              </w:rPr>
              <w:t>Ashford Total</w:t>
            </w:r>
          </w:p>
        </w:tc>
        <w:tc>
          <w:tcPr>
            <w:tcW w:w="1560" w:type="dxa"/>
            <w:tcBorders>
              <w:top w:val="nil"/>
              <w:left w:val="nil"/>
              <w:bottom w:val="single" w:sz="4" w:space="0" w:color="auto"/>
              <w:right w:val="single" w:sz="4" w:space="0" w:color="auto"/>
            </w:tcBorders>
            <w:shd w:val="clear" w:color="auto" w:fill="auto"/>
            <w:noWrap/>
            <w:vAlign w:val="bottom"/>
            <w:hideMark/>
          </w:tcPr>
          <w:p w14:paraId="794714D1" w14:textId="77777777" w:rsidR="00F343EA" w:rsidRPr="006C0A7D" w:rsidRDefault="00F343EA">
            <w:pPr>
              <w:jc w:val="center"/>
              <w:rPr>
                <w:rFonts w:asciiTheme="minorBidi" w:eastAsia="Times New Roman" w:hAnsiTheme="minorBidi" w:cstheme="minorBidi"/>
                <w:b/>
                <w:bCs/>
                <w:sz w:val="20"/>
                <w:szCs w:val="20"/>
                <w:lang w:eastAsia="en-GB"/>
                <w14:ligatures w14:val="none"/>
              </w:rPr>
            </w:pPr>
            <w:r w:rsidRPr="006C0A7D">
              <w:rPr>
                <w:rFonts w:asciiTheme="minorBidi" w:eastAsia="Times New Roman" w:hAnsiTheme="minorBidi" w:cstheme="minorBidi"/>
                <w:b/>
                <w:bCs/>
                <w:sz w:val="20"/>
                <w:szCs w:val="20"/>
                <w:lang w:eastAsia="en-GB"/>
                <w14:ligatures w14:val="none"/>
              </w:rPr>
              <w:t>624</w:t>
            </w:r>
          </w:p>
        </w:tc>
        <w:tc>
          <w:tcPr>
            <w:tcW w:w="1275" w:type="dxa"/>
            <w:tcBorders>
              <w:top w:val="nil"/>
              <w:left w:val="nil"/>
              <w:bottom w:val="single" w:sz="4" w:space="0" w:color="auto"/>
              <w:right w:val="single" w:sz="4" w:space="0" w:color="auto"/>
            </w:tcBorders>
            <w:shd w:val="clear" w:color="auto" w:fill="auto"/>
            <w:noWrap/>
            <w:vAlign w:val="bottom"/>
            <w:hideMark/>
          </w:tcPr>
          <w:p w14:paraId="36F688A4" w14:textId="77777777" w:rsidR="00F343EA" w:rsidRPr="006C0A7D" w:rsidRDefault="00F343EA">
            <w:pPr>
              <w:jc w:val="center"/>
              <w:rPr>
                <w:rFonts w:asciiTheme="minorBidi" w:eastAsia="Times New Roman" w:hAnsiTheme="minorBidi" w:cstheme="minorBidi"/>
                <w:b/>
                <w:bCs/>
                <w:sz w:val="20"/>
                <w:szCs w:val="20"/>
                <w:lang w:eastAsia="en-GB"/>
                <w14:ligatures w14:val="none"/>
              </w:rPr>
            </w:pPr>
            <w:r w:rsidRPr="006C0A7D">
              <w:rPr>
                <w:rFonts w:asciiTheme="minorBidi" w:eastAsia="Times New Roman" w:hAnsiTheme="minorBidi" w:cstheme="minorBidi"/>
                <w:b/>
                <w:bCs/>
                <w:sz w:val="20"/>
                <w:szCs w:val="20"/>
                <w:lang w:eastAsia="en-GB"/>
                <w14:ligatures w14:val="none"/>
              </w:rPr>
              <w:t>630</w:t>
            </w:r>
          </w:p>
        </w:tc>
        <w:tc>
          <w:tcPr>
            <w:tcW w:w="1606" w:type="dxa"/>
            <w:tcBorders>
              <w:top w:val="nil"/>
              <w:left w:val="nil"/>
              <w:bottom w:val="single" w:sz="4" w:space="0" w:color="auto"/>
              <w:right w:val="single" w:sz="4" w:space="0" w:color="auto"/>
            </w:tcBorders>
            <w:shd w:val="clear" w:color="auto" w:fill="FF0000"/>
            <w:noWrap/>
            <w:vAlign w:val="bottom"/>
            <w:hideMark/>
          </w:tcPr>
          <w:p w14:paraId="2AE4D904" w14:textId="69EE2F10" w:rsidR="00F343EA" w:rsidRPr="006C0A7D" w:rsidRDefault="009B19FA">
            <w:pPr>
              <w:jc w:val="center"/>
              <w:rPr>
                <w:rFonts w:asciiTheme="minorBidi" w:eastAsia="Times New Roman" w:hAnsiTheme="minorBidi" w:cstheme="minorBidi"/>
                <w:b/>
                <w:bCs/>
                <w:sz w:val="20"/>
                <w:szCs w:val="20"/>
                <w:lang w:eastAsia="en-GB"/>
                <w14:ligatures w14:val="none"/>
              </w:rPr>
            </w:pPr>
            <w:r>
              <w:rPr>
                <w:rFonts w:asciiTheme="minorBidi" w:eastAsia="Times New Roman" w:hAnsiTheme="minorBidi" w:cstheme="minorBidi"/>
                <w:b/>
                <w:bCs/>
                <w:sz w:val="20"/>
                <w:szCs w:val="20"/>
                <w:lang w:eastAsia="en-GB"/>
                <w14:ligatures w14:val="none"/>
              </w:rPr>
              <w:t>-</w:t>
            </w:r>
            <w:r w:rsidR="00F343EA" w:rsidRPr="006C0A7D">
              <w:rPr>
                <w:rFonts w:asciiTheme="minorBidi" w:eastAsia="Times New Roman" w:hAnsiTheme="minorBidi" w:cstheme="minorBidi"/>
                <w:b/>
                <w:bCs/>
                <w:sz w:val="20"/>
                <w:szCs w:val="20"/>
                <w:lang w:eastAsia="en-GB"/>
                <w14:ligatures w14:val="none"/>
              </w:rPr>
              <w:t>6</w:t>
            </w:r>
          </w:p>
        </w:tc>
      </w:tr>
    </w:tbl>
    <w:p w14:paraId="7FB785D0" w14:textId="77777777" w:rsidR="00F343EA" w:rsidRPr="009B19FA" w:rsidRDefault="00F343EA" w:rsidP="00F343EA">
      <w:pPr>
        <w:rPr>
          <w:sz w:val="16"/>
          <w:szCs w:val="16"/>
        </w:rPr>
      </w:pPr>
      <w:r w:rsidRPr="009B19FA">
        <w:rPr>
          <w:sz w:val="16"/>
          <w:szCs w:val="16"/>
        </w:rPr>
        <w:t>*The total capacity is based on the higher of the commissioned number or roll as of January 2023.  This is the figure sent to the DfE and published.</w:t>
      </w:r>
    </w:p>
    <w:p w14:paraId="150B11BB" w14:textId="77777777" w:rsidR="009B19FA" w:rsidRDefault="009B19FA" w:rsidP="00F343EA">
      <w:pPr>
        <w:rPr>
          <w:b/>
          <w:bCs/>
        </w:rPr>
      </w:pPr>
    </w:p>
    <w:p w14:paraId="0C3AD18E" w14:textId="49573CDD" w:rsidR="00F343EA" w:rsidRPr="00636C3E" w:rsidRDefault="00F343EA" w:rsidP="00F343EA">
      <w:pPr>
        <w:rPr>
          <w:rFonts w:ascii="Arial" w:hAnsi="Arial" w:cs="Arial"/>
          <w:sz w:val="24"/>
          <w:szCs w:val="24"/>
          <w:u w:val="single"/>
          <w:lang w:val="en-US"/>
        </w:rPr>
      </w:pPr>
      <w:r w:rsidRPr="00636C3E">
        <w:rPr>
          <w:rFonts w:ascii="Arial" w:hAnsi="Arial" w:cs="Arial"/>
          <w:sz w:val="24"/>
          <w:szCs w:val="24"/>
          <w:u w:val="single"/>
          <w:lang w:val="en-US"/>
        </w:rPr>
        <w:t>Conclusion</w:t>
      </w:r>
      <w:r w:rsidR="00A86F31">
        <w:rPr>
          <w:rFonts w:ascii="Arial" w:hAnsi="Arial" w:cs="Arial"/>
          <w:sz w:val="24"/>
          <w:szCs w:val="24"/>
          <w:u w:val="single"/>
          <w:lang w:val="en-US"/>
        </w:rPr>
        <w:t>- specialist places</w:t>
      </w:r>
    </w:p>
    <w:p w14:paraId="0B16FD80" w14:textId="77777777" w:rsidR="003F17D1" w:rsidRDefault="00636C3E" w:rsidP="003F17D1">
      <w:pPr>
        <w:spacing w:after="60"/>
        <w:rPr>
          <w:rFonts w:ascii="Arial" w:hAnsi="Arial" w:cs="Arial"/>
          <w:sz w:val="24"/>
          <w:szCs w:val="24"/>
          <w:lang w:val="en-US"/>
        </w:rPr>
      </w:pPr>
      <w:r w:rsidRPr="00DC3CA9">
        <w:rPr>
          <w:rFonts w:ascii="Arial" w:hAnsi="Arial" w:cs="Arial"/>
          <w:sz w:val="24"/>
          <w:szCs w:val="24"/>
          <w:lang w:val="en-US"/>
        </w:rPr>
        <w:t xml:space="preserve">Both nationally and locally </w:t>
      </w:r>
      <w:r w:rsidR="00DC3CA9" w:rsidRPr="00DC3CA9">
        <w:rPr>
          <w:rFonts w:ascii="Arial" w:hAnsi="Arial" w:cs="Arial"/>
          <w:sz w:val="24"/>
          <w:szCs w:val="24"/>
          <w:lang w:val="en-US"/>
        </w:rPr>
        <w:t xml:space="preserve">state funded specialist capacity is under extreme pressure, necessitating heavy reliance on expensive independent provision, making the system financially unsustainable.  </w:t>
      </w:r>
      <w:r w:rsidR="00F343EA" w:rsidRPr="00DC3CA9">
        <w:rPr>
          <w:rFonts w:ascii="Arial" w:hAnsi="Arial" w:cs="Arial"/>
          <w:sz w:val="24"/>
          <w:szCs w:val="24"/>
          <w:lang w:val="en-US"/>
        </w:rPr>
        <w:t>The number of pupils with an EHCP</w:t>
      </w:r>
      <w:r w:rsidR="00DC3CA9" w:rsidRPr="00DC3CA9">
        <w:rPr>
          <w:rFonts w:ascii="Arial" w:hAnsi="Arial" w:cs="Arial"/>
          <w:sz w:val="24"/>
          <w:szCs w:val="24"/>
          <w:lang w:val="en-US"/>
        </w:rPr>
        <w:t xml:space="preserve">s continues to increase despite robust efforts to bring system change.  </w:t>
      </w:r>
      <w:r w:rsidR="00F343EA" w:rsidRPr="00DC3CA9">
        <w:rPr>
          <w:rFonts w:ascii="Arial" w:hAnsi="Arial" w:cs="Arial"/>
          <w:sz w:val="24"/>
          <w:szCs w:val="24"/>
          <w:lang w:val="en-US"/>
        </w:rPr>
        <w:t xml:space="preserve"> </w:t>
      </w:r>
    </w:p>
    <w:p w14:paraId="21F72B03" w14:textId="77777777" w:rsidR="003F17D1" w:rsidRDefault="003F17D1" w:rsidP="003F17D1">
      <w:pPr>
        <w:spacing w:after="60"/>
        <w:rPr>
          <w:rFonts w:ascii="Arial" w:hAnsi="Arial" w:cs="Arial"/>
          <w:sz w:val="24"/>
          <w:szCs w:val="24"/>
          <w:lang w:val="en-US"/>
        </w:rPr>
      </w:pPr>
    </w:p>
    <w:p w14:paraId="75195705" w14:textId="1E59D238" w:rsidR="00F343EA" w:rsidRPr="00DC3CA9" w:rsidRDefault="00F343EA" w:rsidP="003F17D1">
      <w:pPr>
        <w:spacing w:after="60"/>
        <w:rPr>
          <w:rFonts w:ascii="Arial" w:hAnsi="Arial" w:cs="Arial"/>
          <w:sz w:val="24"/>
          <w:szCs w:val="24"/>
          <w:lang w:val="en-US"/>
        </w:rPr>
      </w:pPr>
      <w:r w:rsidRPr="00DC3CA9">
        <w:rPr>
          <w:rFonts w:ascii="Arial" w:hAnsi="Arial" w:cs="Arial"/>
          <w:sz w:val="24"/>
          <w:szCs w:val="24"/>
          <w:lang w:val="en-US"/>
        </w:rPr>
        <w:t>S</w:t>
      </w:r>
      <w:r w:rsidR="00F7585F">
        <w:rPr>
          <w:rFonts w:ascii="Arial" w:hAnsi="Arial" w:cs="Arial"/>
          <w:sz w:val="24"/>
          <w:szCs w:val="24"/>
          <w:lang w:val="en-US"/>
        </w:rPr>
        <w:t>tate funded s</w:t>
      </w:r>
      <w:r w:rsidRPr="00DC3CA9">
        <w:rPr>
          <w:rFonts w:ascii="Arial" w:hAnsi="Arial" w:cs="Arial"/>
          <w:sz w:val="24"/>
          <w:szCs w:val="24"/>
          <w:lang w:val="en-US"/>
        </w:rPr>
        <w:t xml:space="preserve">pecialist provision in Ashford and across the County as a whole is already over capacity. </w:t>
      </w:r>
      <w:r w:rsidR="003F17D1">
        <w:rPr>
          <w:rFonts w:ascii="Arial" w:hAnsi="Arial" w:cs="Arial"/>
          <w:sz w:val="24"/>
          <w:szCs w:val="24"/>
          <w:lang w:val="en-US"/>
        </w:rPr>
        <w:t xml:space="preserve"> </w:t>
      </w:r>
      <w:r w:rsidR="00F7585F">
        <w:rPr>
          <w:rFonts w:ascii="Arial" w:hAnsi="Arial" w:cs="Arial"/>
          <w:sz w:val="24"/>
          <w:szCs w:val="24"/>
          <w:lang w:val="en-US"/>
        </w:rPr>
        <w:t>All such capacity will continue to be filled as we prioritise reducing placements in the independent sector</w:t>
      </w:r>
      <w:r w:rsidR="003F17D1">
        <w:rPr>
          <w:rFonts w:ascii="Arial" w:hAnsi="Arial" w:cs="Arial"/>
          <w:sz w:val="24"/>
          <w:szCs w:val="24"/>
          <w:lang w:val="en-US"/>
        </w:rPr>
        <w:t>.</w:t>
      </w:r>
      <w:r w:rsidR="00F7585F">
        <w:rPr>
          <w:rFonts w:ascii="Arial" w:hAnsi="Arial" w:cs="Arial"/>
          <w:sz w:val="24"/>
          <w:szCs w:val="24"/>
          <w:lang w:val="en-US"/>
        </w:rPr>
        <w:t xml:space="preserve">  </w:t>
      </w:r>
      <w:r w:rsidRPr="00DC3CA9">
        <w:rPr>
          <w:rFonts w:ascii="Arial" w:hAnsi="Arial" w:cs="Arial"/>
          <w:sz w:val="24"/>
          <w:szCs w:val="24"/>
          <w:lang w:val="en-US"/>
        </w:rPr>
        <w:t xml:space="preserve">Possingham Farm will create a demand that must be mitigated.  </w:t>
      </w:r>
    </w:p>
    <w:p w14:paraId="193081BD" w14:textId="77777777" w:rsidR="00DC3CA9" w:rsidRDefault="00DC3CA9" w:rsidP="00F343EA"/>
    <w:p w14:paraId="529FF63C" w14:textId="6914D699" w:rsidR="00437148" w:rsidRPr="00F7585F" w:rsidRDefault="00DF293C" w:rsidP="00F343EA">
      <w:pPr>
        <w:rPr>
          <w:rFonts w:asciiTheme="minorBidi" w:hAnsiTheme="minorBidi" w:cstheme="minorBidi"/>
          <w:b/>
          <w:bCs/>
          <w:sz w:val="24"/>
          <w:szCs w:val="24"/>
          <w:u w:val="single"/>
        </w:rPr>
      </w:pPr>
      <w:r w:rsidRPr="00F7585F">
        <w:rPr>
          <w:rFonts w:asciiTheme="minorBidi" w:hAnsiTheme="minorBidi" w:cstheme="minorBidi"/>
          <w:b/>
          <w:bCs/>
          <w:sz w:val="24"/>
          <w:szCs w:val="24"/>
          <w:u w:val="single"/>
        </w:rPr>
        <w:t>Contributions requested</w:t>
      </w:r>
    </w:p>
    <w:p w14:paraId="48237E92" w14:textId="77777777" w:rsidR="006A1637" w:rsidRDefault="006A1637" w:rsidP="00F343EA">
      <w:pPr>
        <w:rPr>
          <w:rFonts w:asciiTheme="minorBidi" w:hAnsiTheme="minorBidi" w:cstheme="minorBidi"/>
          <w:sz w:val="24"/>
          <w:szCs w:val="24"/>
        </w:rPr>
      </w:pPr>
    </w:p>
    <w:p w14:paraId="1E9A81A9" w14:textId="3754B721" w:rsidR="00F7585F" w:rsidRDefault="00DF293C" w:rsidP="00F343EA">
      <w:pPr>
        <w:rPr>
          <w:rFonts w:asciiTheme="minorBidi" w:hAnsiTheme="minorBidi" w:cstheme="minorBidi"/>
          <w:sz w:val="24"/>
          <w:szCs w:val="24"/>
        </w:rPr>
      </w:pPr>
      <w:r w:rsidRPr="00F7585F">
        <w:rPr>
          <w:rFonts w:asciiTheme="minorBidi" w:hAnsiTheme="minorBidi" w:cstheme="minorBidi"/>
          <w:sz w:val="24"/>
          <w:szCs w:val="24"/>
        </w:rPr>
        <w:t>The assessment</w:t>
      </w:r>
      <w:r w:rsidR="00F7585F">
        <w:rPr>
          <w:rFonts w:asciiTheme="minorBidi" w:hAnsiTheme="minorBidi" w:cstheme="minorBidi"/>
          <w:sz w:val="24"/>
          <w:szCs w:val="24"/>
        </w:rPr>
        <w:t>s</w:t>
      </w:r>
      <w:r w:rsidRPr="00F7585F">
        <w:rPr>
          <w:rFonts w:asciiTheme="minorBidi" w:hAnsiTheme="minorBidi" w:cstheme="minorBidi"/>
          <w:sz w:val="24"/>
          <w:szCs w:val="24"/>
        </w:rPr>
        <w:t xml:space="preserve"> demonstrate that</w:t>
      </w:r>
      <w:r w:rsidR="003126B2">
        <w:rPr>
          <w:rFonts w:asciiTheme="minorBidi" w:hAnsiTheme="minorBidi" w:cstheme="minorBidi"/>
          <w:sz w:val="24"/>
          <w:szCs w:val="24"/>
        </w:rPr>
        <w:t xml:space="preserve"> the County Council is justified in seeking contributions to mitigate the impact of this development in respect of secondary school and SEND places.  In line with our guide, the contributions required are</w:t>
      </w:r>
      <w:r w:rsidR="00F7585F">
        <w:rPr>
          <w:rFonts w:asciiTheme="minorBidi" w:hAnsiTheme="minorBidi" w:cstheme="minorBidi"/>
          <w:sz w:val="24"/>
          <w:szCs w:val="24"/>
        </w:rPr>
        <w:t>:</w:t>
      </w:r>
    </w:p>
    <w:p w14:paraId="287382BB" w14:textId="77777777" w:rsidR="00F7585F" w:rsidRDefault="00F7585F" w:rsidP="00F343EA">
      <w:pPr>
        <w:rPr>
          <w:rFonts w:asciiTheme="minorBidi" w:hAnsiTheme="minorBidi" w:cstheme="minorBidi"/>
          <w:sz w:val="24"/>
          <w:szCs w:val="24"/>
        </w:rPr>
      </w:pPr>
    </w:p>
    <w:p w14:paraId="491F10A2" w14:textId="001A4C4A" w:rsidR="003126B2" w:rsidRPr="003126B2" w:rsidRDefault="003126B2" w:rsidP="003126B2">
      <w:pPr>
        <w:pStyle w:val="ListParagraph"/>
        <w:numPr>
          <w:ilvl w:val="0"/>
          <w:numId w:val="12"/>
        </w:numPr>
        <w:spacing w:after="60"/>
        <w:ind w:left="714" w:hanging="357"/>
        <w:contextualSpacing w:val="0"/>
        <w:rPr>
          <w:rFonts w:ascii="Arial" w:hAnsi="Arial" w:cs="Arial"/>
          <w:sz w:val="24"/>
          <w:szCs w:val="24"/>
          <w:lang w:val="en-US"/>
        </w:rPr>
      </w:pPr>
      <w:r w:rsidRPr="003126B2">
        <w:rPr>
          <w:rFonts w:ascii="Arial" w:hAnsi="Arial" w:cs="Arial"/>
          <w:sz w:val="24"/>
          <w:szCs w:val="24"/>
          <w:lang w:val="en-US"/>
        </w:rPr>
        <w:t xml:space="preserve">£5,587.19 per applicable house and £1,396.80 per applicable flat </w:t>
      </w:r>
      <w:r>
        <w:rPr>
          <w:rFonts w:ascii="Arial" w:hAnsi="Arial" w:cs="Arial"/>
          <w:sz w:val="24"/>
          <w:szCs w:val="24"/>
          <w:lang w:val="en-US"/>
        </w:rPr>
        <w:t xml:space="preserve">towards </w:t>
      </w:r>
      <w:r w:rsidRPr="003126B2">
        <w:rPr>
          <w:rFonts w:ascii="Arial" w:hAnsi="Arial" w:cs="Arial"/>
          <w:sz w:val="24"/>
          <w:szCs w:val="24"/>
          <w:lang w:val="en-US"/>
        </w:rPr>
        <w:t>Secondary Education</w:t>
      </w:r>
      <w:r>
        <w:rPr>
          <w:rFonts w:ascii="Arial" w:hAnsi="Arial" w:cs="Arial"/>
          <w:sz w:val="24"/>
          <w:szCs w:val="24"/>
          <w:lang w:val="en-US"/>
        </w:rPr>
        <w:t xml:space="preserve"> places; and </w:t>
      </w:r>
    </w:p>
    <w:p w14:paraId="67F0AF20" w14:textId="451BDA15" w:rsidR="003126B2" w:rsidRPr="003126B2" w:rsidRDefault="003126B2" w:rsidP="003126B2">
      <w:pPr>
        <w:pStyle w:val="ListParagraph"/>
        <w:numPr>
          <w:ilvl w:val="0"/>
          <w:numId w:val="12"/>
        </w:numPr>
        <w:spacing w:after="60"/>
        <w:ind w:left="714" w:hanging="357"/>
        <w:contextualSpacing w:val="0"/>
        <w:rPr>
          <w:rFonts w:ascii="Arial" w:hAnsi="Arial" w:cs="Arial"/>
          <w:sz w:val="24"/>
          <w:szCs w:val="24"/>
          <w:lang w:val="en-US"/>
        </w:rPr>
      </w:pPr>
      <w:r w:rsidRPr="003126B2">
        <w:rPr>
          <w:rFonts w:ascii="Arial" w:hAnsi="Arial" w:cs="Arial"/>
          <w:sz w:val="24"/>
          <w:szCs w:val="24"/>
          <w:lang w:val="en-US"/>
        </w:rPr>
        <w:t xml:space="preserve">£559.83 per applicable house and £139.96 per applicable flat </w:t>
      </w:r>
      <w:r>
        <w:rPr>
          <w:rFonts w:ascii="Arial" w:hAnsi="Arial" w:cs="Arial"/>
          <w:sz w:val="24"/>
          <w:szCs w:val="24"/>
          <w:lang w:val="en-US"/>
        </w:rPr>
        <w:t>towards the</w:t>
      </w:r>
      <w:r w:rsidRPr="003126B2">
        <w:rPr>
          <w:rFonts w:ascii="Arial" w:hAnsi="Arial" w:cs="Arial"/>
          <w:sz w:val="24"/>
          <w:szCs w:val="24"/>
          <w:lang w:val="en-US"/>
        </w:rPr>
        <w:t xml:space="preserve"> provision of additional SEND places and/or additional SEND facilities to serve the needs of the development within the District.</w:t>
      </w:r>
    </w:p>
    <w:p w14:paraId="524B196C" w14:textId="73B3F493" w:rsidR="009C0BF2" w:rsidRPr="003126B2" w:rsidRDefault="009C0BF2" w:rsidP="00F343EA">
      <w:pPr>
        <w:rPr>
          <w:lang w:val="en-US"/>
        </w:rPr>
      </w:pPr>
    </w:p>
    <w:p w14:paraId="33DDECBF" w14:textId="2B258C4B" w:rsidR="00437148" w:rsidRDefault="00437148" w:rsidP="00F343EA"/>
    <w:sectPr w:rsidR="004371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6185B"/>
    <w:multiLevelType w:val="hybridMultilevel"/>
    <w:tmpl w:val="70DC0B9A"/>
    <w:lvl w:ilvl="0" w:tplc="F67CAAA0">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F65E5"/>
    <w:multiLevelType w:val="hybridMultilevel"/>
    <w:tmpl w:val="823A84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A2465"/>
    <w:multiLevelType w:val="hybridMultilevel"/>
    <w:tmpl w:val="80DC0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A13112"/>
    <w:multiLevelType w:val="hybridMultilevel"/>
    <w:tmpl w:val="6A56D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83463D"/>
    <w:multiLevelType w:val="hybridMultilevel"/>
    <w:tmpl w:val="C6A6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737B31"/>
    <w:multiLevelType w:val="hybridMultilevel"/>
    <w:tmpl w:val="BB6CC92E"/>
    <w:lvl w:ilvl="0" w:tplc="4C9462E8">
      <w:start w:val="1"/>
      <w:numFmt w:val="lowerRoman"/>
      <w:lvlText w:val="(%1)"/>
      <w:lvlJc w:val="left"/>
      <w:pPr>
        <w:ind w:left="1146" w:hanging="720"/>
      </w:pPr>
      <w:rPr>
        <w:rFonts w:hint="default"/>
      </w:rPr>
    </w:lvl>
    <w:lvl w:ilvl="1" w:tplc="11CC158A">
      <w:start w:val="1"/>
      <w:numFmt w:val="lowerLetter"/>
      <w:lvlText w:val="(%2)"/>
      <w:lvlJc w:val="left"/>
      <w:pPr>
        <w:ind w:left="1800" w:hanging="360"/>
      </w:pPr>
      <w:rPr>
        <w:rFonts w:hint="default"/>
        <w:b w:val="0"/>
        <w:bCs/>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F446766"/>
    <w:multiLevelType w:val="hybridMultilevel"/>
    <w:tmpl w:val="F788E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43714A"/>
    <w:multiLevelType w:val="hybridMultilevel"/>
    <w:tmpl w:val="7FB26EE2"/>
    <w:lvl w:ilvl="0" w:tplc="47F289D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4CB45AF0"/>
    <w:multiLevelType w:val="hybridMultilevel"/>
    <w:tmpl w:val="C58A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9426E7"/>
    <w:multiLevelType w:val="hybridMultilevel"/>
    <w:tmpl w:val="365AAB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162A42"/>
    <w:multiLevelType w:val="hybridMultilevel"/>
    <w:tmpl w:val="5502B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151D0A"/>
    <w:multiLevelType w:val="hybridMultilevel"/>
    <w:tmpl w:val="B2EC8924"/>
    <w:lvl w:ilvl="0" w:tplc="9392CC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E2F77AC"/>
    <w:multiLevelType w:val="hybridMultilevel"/>
    <w:tmpl w:val="587AD69A"/>
    <w:lvl w:ilvl="0" w:tplc="2BF6C77C">
      <w:numFmt w:val="bullet"/>
      <w:lvlText w:val="•"/>
      <w:lvlJc w:val="left"/>
      <w:pPr>
        <w:ind w:left="1026" w:hanging="360"/>
      </w:pPr>
      <w:rPr>
        <w:rFonts w:ascii="Arial" w:eastAsiaTheme="minorHAnsi" w:hAnsi="Arial" w:cs="Aria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3" w15:restartNumberingAfterBreak="0">
    <w:nsid w:val="5F5214EE"/>
    <w:multiLevelType w:val="hybridMultilevel"/>
    <w:tmpl w:val="6C4294B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15:restartNumberingAfterBreak="0">
    <w:nsid w:val="604B63F7"/>
    <w:multiLevelType w:val="multilevel"/>
    <w:tmpl w:val="29061884"/>
    <w:lvl w:ilvl="0">
      <w:start w:val="1"/>
      <w:numFmt w:val="decimal"/>
      <w:lvlText w:val="%1."/>
      <w:lvlJc w:val="left"/>
      <w:pPr>
        <w:ind w:left="720" w:hanging="360"/>
      </w:pPr>
      <w:rPr>
        <w:rFonts w:hint="default"/>
      </w:rPr>
    </w:lvl>
    <w:lvl w:ilvl="1">
      <w:start w:val="7"/>
      <w:numFmt w:val="decimal"/>
      <w:isLgl/>
      <w:lvlText w:val="%1.%2"/>
      <w:lvlJc w:val="left"/>
      <w:pPr>
        <w:ind w:left="758" w:hanging="39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264055"/>
    <w:multiLevelType w:val="hybridMultilevel"/>
    <w:tmpl w:val="7C5C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CB646E"/>
    <w:multiLevelType w:val="hybridMultilevel"/>
    <w:tmpl w:val="882C7296"/>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503857678">
    <w:abstractNumId w:val="9"/>
  </w:num>
  <w:num w:numId="2" w16cid:durableId="1133793721">
    <w:abstractNumId w:val="0"/>
  </w:num>
  <w:num w:numId="3" w16cid:durableId="298194041">
    <w:abstractNumId w:val="10"/>
  </w:num>
  <w:num w:numId="4" w16cid:durableId="1083723705">
    <w:abstractNumId w:val="3"/>
  </w:num>
  <w:num w:numId="5" w16cid:durableId="1958679741">
    <w:abstractNumId w:val="2"/>
  </w:num>
  <w:num w:numId="6" w16cid:durableId="1929581123">
    <w:abstractNumId w:val="11"/>
  </w:num>
  <w:num w:numId="7" w16cid:durableId="598565281">
    <w:abstractNumId w:val="7"/>
  </w:num>
  <w:num w:numId="8" w16cid:durableId="1739594326">
    <w:abstractNumId w:val="6"/>
  </w:num>
  <w:num w:numId="9" w16cid:durableId="783617995">
    <w:abstractNumId w:val="12"/>
  </w:num>
  <w:num w:numId="10" w16cid:durableId="1298143324">
    <w:abstractNumId w:val="14"/>
  </w:num>
  <w:num w:numId="11" w16cid:durableId="447167950">
    <w:abstractNumId w:val="8"/>
  </w:num>
  <w:num w:numId="12" w16cid:durableId="810361905">
    <w:abstractNumId w:val="1"/>
  </w:num>
  <w:num w:numId="13" w16cid:durableId="1942445024">
    <w:abstractNumId w:val="13"/>
  </w:num>
  <w:num w:numId="14" w16cid:durableId="2071491771">
    <w:abstractNumId w:val="15"/>
  </w:num>
  <w:num w:numId="15" w16cid:durableId="1851529055">
    <w:abstractNumId w:val="4"/>
  </w:num>
  <w:num w:numId="16" w16cid:durableId="347412165">
    <w:abstractNumId w:val="16"/>
  </w:num>
  <w:num w:numId="17" w16cid:durableId="684286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1C"/>
    <w:rsid w:val="00001DC1"/>
    <w:rsid w:val="000413F8"/>
    <w:rsid w:val="00065357"/>
    <w:rsid w:val="000E131F"/>
    <w:rsid w:val="00176D6C"/>
    <w:rsid w:val="00180DB2"/>
    <w:rsid w:val="001D7E99"/>
    <w:rsid w:val="001E5200"/>
    <w:rsid w:val="002A3983"/>
    <w:rsid w:val="003126B2"/>
    <w:rsid w:val="00317201"/>
    <w:rsid w:val="003F17D1"/>
    <w:rsid w:val="00437148"/>
    <w:rsid w:val="004573FD"/>
    <w:rsid w:val="004D41C6"/>
    <w:rsid w:val="004F7560"/>
    <w:rsid w:val="0058696F"/>
    <w:rsid w:val="00593158"/>
    <w:rsid w:val="00617BC3"/>
    <w:rsid w:val="00636C3E"/>
    <w:rsid w:val="006371C5"/>
    <w:rsid w:val="006A1637"/>
    <w:rsid w:val="006A1E3C"/>
    <w:rsid w:val="006D2AC9"/>
    <w:rsid w:val="007B3479"/>
    <w:rsid w:val="00804094"/>
    <w:rsid w:val="00882B9A"/>
    <w:rsid w:val="00882F62"/>
    <w:rsid w:val="008B0DE6"/>
    <w:rsid w:val="008E53D6"/>
    <w:rsid w:val="00963174"/>
    <w:rsid w:val="00992DCF"/>
    <w:rsid w:val="009B19FA"/>
    <w:rsid w:val="009C0BF2"/>
    <w:rsid w:val="00A26D26"/>
    <w:rsid w:val="00A322F8"/>
    <w:rsid w:val="00A40798"/>
    <w:rsid w:val="00A81EFF"/>
    <w:rsid w:val="00A86F31"/>
    <w:rsid w:val="00A915CD"/>
    <w:rsid w:val="00AA1A31"/>
    <w:rsid w:val="00AC271B"/>
    <w:rsid w:val="00AD1D39"/>
    <w:rsid w:val="00B53421"/>
    <w:rsid w:val="00BC5B9C"/>
    <w:rsid w:val="00C80681"/>
    <w:rsid w:val="00C949EC"/>
    <w:rsid w:val="00CD302E"/>
    <w:rsid w:val="00CE18F1"/>
    <w:rsid w:val="00CF743C"/>
    <w:rsid w:val="00DC3CA9"/>
    <w:rsid w:val="00DE262D"/>
    <w:rsid w:val="00DE6F53"/>
    <w:rsid w:val="00DF293C"/>
    <w:rsid w:val="00E7004D"/>
    <w:rsid w:val="00EB2026"/>
    <w:rsid w:val="00EC491C"/>
    <w:rsid w:val="00F2425B"/>
    <w:rsid w:val="00F343EA"/>
    <w:rsid w:val="00F42EBD"/>
    <w:rsid w:val="00F51822"/>
    <w:rsid w:val="00F7585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453D"/>
  <w15:docId w15:val="{CA6D1C4A-9E78-40AF-A8C5-9E141374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1C"/>
    <w:pPr>
      <w:spacing w:after="0" w:line="240" w:lineRule="auto"/>
    </w:pPr>
    <w:rPr>
      <w:rFonts w:ascii="Calibri" w:hAnsi="Calibri" w:cs="Calibri"/>
      <w:kern w:val="0"/>
      <w:sz w:val="22"/>
      <w:szCs w:val="22"/>
      <w:lang w:eastAsia="en-US"/>
    </w:rPr>
  </w:style>
  <w:style w:type="paragraph" w:styleId="Heading1">
    <w:name w:val="heading 1"/>
    <w:basedOn w:val="Normal"/>
    <w:next w:val="Normal"/>
    <w:link w:val="Heading1Char"/>
    <w:uiPriority w:val="9"/>
    <w:qFormat/>
    <w:rsid w:val="00EC49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9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9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9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9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9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9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9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9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9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9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9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9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9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9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9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9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91C"/>
    <w:rPr>
      <w:rFonts w:eastAsiaTheme="majorEastAsia" w:cstheme="majorBidi"/>
      <w:color w:val="272727" w:themeColor="text1" w:themeTint="D8"/>
    </w:rPr>
  </w:style>
  <w:style w:type="paragraph" w:styleId="Title">
    <w:name w:val="Title"/>
    <w:basedOn w:val="Normal"/>
    <w:next w:val="Normal"/>
    <w:link w:val="TitleChar"/>
    <w:uiPriority w:val="10"/>
    <w:qFormat/>
    <w:rsid w:val="00EC49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9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9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9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91C"/>
    <w:pPr>
      <w:spacing w:before="160"/>
      <w:jc w:val="center"/>
    </w:pPr>
    <w:rPr>
      <w:i/>
      <w:iCs/>
      <w:color w:val="404040" w:themeColor="text1" w:themeTint="BF"/>
    </w:rPr>
  </w:style>
  <w:style w:type="character" w:customStyle="1" w:styleId="QuoteChar">
    <w:name w:val="Quote Char"/>
    <w:basedOn w:val="DefaultParagraphFont"/>
    <w:link w:val="Quote"/>
    <w:uiPriority w:val="29"/>
    <w:rsid w:val="00EC491C"/>
    <w:rPr>
      <w:i/>
      <w:iCs/>
      <w:color w:val="404040" w:themeColor="text1" w:themeTint="BF"/>
    </w:rPr>
  </w:style>
  <w:style w:type="paragraph" w:styleId="ListParagraph">
    <w:name w:val="List Paragraph"/>
    <w:basedOn w:val="Normal"/>
    <w:uiPriority w:val="34"/>
    <w:qFormat/>
    <w:rsid w:val="00EC491C"/>
    <w:pPr>
      <w:ind w:left="720"/>
      <w:contextualSpacing/>
    </w:pPr>
  </w:style>
  <w:style w:type="character" w:styleId="IntenseEmphasis">
    <w:name w:val="Intense Emphasis"/>
    <w:basedOn w:val="DefaultParagraphFont"/>
    <w:uiPriority w:val="21"/>
    <w:qFormat/>
    <w:rsid w:val="00EC491C"/>
    <w:rPr>
      <w:i/>
      <w:iCs/>
      <w:color w:val="0F4761" w:themeColor="accent1" w:themeShade="BF"/>
    </w:rPr>
  </w:style>
  <w:style w:type="paragraph" w:styleId="IntenseQuote">
    <w:name w:val="Intense Quote"/>
    <w:basedOn w:val="Normal"/>
    <w:next w:val="Normal"/>
    <w:link w:val="IntenseQuoteChar"/>
    <w:uiPriority w:val="30"/>
    <w:qFormat/>
    <w:rsid w:val="00EC49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91C"/>
    <w:rPr>
      <w:i/>
      <w:iCs/>
      <w:color w:val="0F4761" w:themeColor="accent1" w:themeShade="BF"/>
    </w:rPr>
  </w:style>
  <w:style w:type="character" w:styleId="IntenseReference">
    <w:name w:val="Intense Reference"/>
    <w:basedOn w:val="DefaultParagraphFont"/>
    <w:uiPriority w:val="32"/>
    <w:qFormat/>
    <w:rsid w:val="00EC491C"/>
    <w:rPr>
      <w:b/>
      <w:bCs/>
      <w:smallCaps/>
      <w:color w:val="0F4761" w:themeColor="accent1" w:themeShade="BF"/>
      <w:spacing w:val="5"/>
    </w:rPr>
  </w:style>
  <w:style w:type="paragraph" w:styleId="Date">
    <w:name w:val="Date"/>
    <w:basedOn w:val="Normal"/>
    <w:next w:val="Normal"/>
    <w:link w:val="DateChar"/>
    <w:uiPriority w:val="99"/>
    <w:semiHidden/>
    <w:unhideWhenUsed/>
    <w:rsid w:val="00EC491C"/>
  </w:style>
  <w:style w:type="character" w:customStyle="1" w:styleId="DateChar">
    <w:name w:val="Date Char"/>
    <w:basedOn w:val="DefaultParagraphFont"/>
    <w:link w:val="Date"/>
    <w:uiPriority w:val="99"/>
    <w:semiHidden/>
    <w:rsid w:val="00EC491C"/>
    <w:rPr>
      <w:rFonts w:ascii="Calibri" w:hAnsi="Calibri" w:cs="Calibri"/>
      <w:kern w:val="0"/>
      <w:sz w:val="22"/>
      <w:szCs w:val="22"/>
      <w:lang w:eastAsia="en-US"/>
    </w:rPr>
  </w:style>
  <w:style w:type="character" w:styleId="CommentReference">
    <w:name w:val="annotation reference"/>
    <w:basedOn w:val="DefaultParagraphFont"/>
    <w:uiPriority w:val="99"/>
    <w:semiHidden/>
    <w:unhideWhenUsed/>
    <w:rsid w:val="00E7004D"/>
    <w:rPr>
      <w:sz w:val="16"/>
      <w:szCs w:val="16"/>
    </w:rPr>
  </w:style>
  <w:style w:type="paragraph" w:styleId="CommentText">
    <w:name w:val="annotation text"/>
    <w:basedOn w:val="Normal"/>
    <w:link w:val="CommentTextChar"/>
    <w:uiPriority w:val="99"/>
    <w:unhideWhenUsed/>
    <w:rsid w:val="00E7004D"/>
    <w:rPr>
      <w:sz w:val="20"/>
      <w:szCs w:val="20"/>
    </w:rPr>
  </w:style>
  <w:style w:type="character" w:customStyle="1" w:styleId="CommentTextChar">
    <w:name w:val="Comment Text Char"/>
    <w:basedOn w:val="DefaultParagraphFont"/>
    <w:link w:val="CommentText"/>
    <w:uiPriority w:val="99"/>
    <w:rsid w:val="00E7004D"/>
    <w:rPr>
      <w:rFonts w:ascii="Calibri" w:hAnsi="Calibri" w:cs="Calibri"/>
      <w:kern w:val="0"/>
      <w:sz w:val="20"/>
      <w:szCs w:val="20"/>
      <w:lang w:eastAsia="en-US"/>
    </w:rPr>
  </w:style>
  <w:style w:type="paragraph" w:styleId="CommentSubject">
    <w:name w:val="annotation subject"/>
    <w:basedOn w:val="CommentText"/>
    <w:next w:val="CommentText"/>
    <w:link w:val="CommentSubjectChar"/>
    <w:uiPriority w:val="99"/>
    <w:semiHidden/>
    <w:unhideWhenUsed/>
    <w:rsid w:val="00E7004D"/>
    <w:rPr>
      <w:b/>
      <w:bCs/>
    </w:rPr>
  </w:style>
  <w:style w:type="character" w:customStyle="1" w:styleId="CommentSubjectChar">
    <w:name w:val="Comment Subject Char"/>
    <w:basedOn w:val="CommentTextChar"/>
    <w:link w:val="CommentSubject"/>
    <w:uiPriority w:val="99"/>
    <w:semiHidden/>
    <w:rsid w:val="00E7004D"/>
    <w:rPr>
      <w:rFonts w:ascii="Calibri" w:hAnsi="Calibri" w:cs="Calibri"/>
      <w:b/>
      <w:bCs/>
      <w:kern w:val="0"/>
      <w:sz w:val="20"/>
      <w:szCs w:val="20"/>
      <w:lang w:eastAsia="en-US"/>
    </w:rPr>
  </w:style>
  <w:style w:type="character" w:styleId="Hyperlink">
    <w:name w:val="Hyperlink"/>
    <w:basedOn w:val="DefaultParagraphFont"/>
    <w:uiPriority w:val="99"/>
    <w:unhideWhenUsed/>
    <w:rsid w:val="00F343EA"/>
    <w:rPr>
      <w:color w:val="467886" w:themeColor="hyperlink"/>
      <w:u w:val="single"/>
    </w:rPr>
  </w:style>
  <w:style w:type="paragraph" w:styleId="Revision">
    <w:name w:val="Revision"/>
    <w:hidden/>
    <w:uiPriority w:val="99"/>
    <w:semiHidden/>
    <w:rsid w:val="00882F62"/>
    <w:pPr>
      <w:spacing w:after="0" w:line="240" w:lineRule="auto"/>
    </w:pPr>
    <w:rPr>
      <w:rFonts w:ascii="Calibri" w:hAnsi="Calibri" w:cs="Calibri"/>
      <w:kern w:val="0"/>
      <w:sz w:val="22"/>
      <w:szCs w:val="22"/>
      <w:lang w:eastAsia="en-US"/>
    </w:rPr>
  </w:style>
  <w:style w:type="character" w:styleId="FollowedHyperlink">
    <w:name w:val="FollowedHyperlink"/>
    <w:basedOn w:val="DefaultParagraphFont"/>
    <w:uiPriority w:val="99"/>
    <w:semiHidden/>
    <w:unhideWhenUsed/>
    <w:rsid w:val="00882B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97118">
      <w:bodyDiv w:val="1"/>
      <w:marLeft w:val="0"/>
      <w:marRight w:val="0"/>
      <w:marTop w:val="0"/>
      <w:marBottom w:val="0"/>
      <w:divBdr>
        <w:top w:val="none" w:sz="0" w:space="0" w:color="auto"/>
        <w:left w:val="none" w:sz="0" w:space="0" w:color="auto"/>
        <w:bottom w:val="none" w:sz="0" w:space="0" w:color="auto"/>
        <w:right w:val="none" w:sz="0" w:space="0" w:color="auto"/>
      </w:divBdr>
    </w:div>
    <w:div w:id="378601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imanage.xml"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ent.gov.uk/__data/assets/pdf_file/0010/153559/Technical-Appendix-7_Education_SEND.pdf" TargetMode="Externa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 A C T I V E ! 1 5 0 8 8 9 6 9 9 . 1 < / d o c u m e n t i d >  
     < s e n d e r i d > E W 1 5 < / s e n d e r i d >  
     < s e n d e r e m a i l > E l i z a b e t h . N u t t a l l @ p i n s e n t m a s o n s . c o m < / s e n d e r e m a i l >  
     < l a s t m o d i f i e d > 2 0 2 4 - 0 8 - 1 2 T 1 5 : 0 1 : 0 0 . 0 0 0 0 0 0 0 + 0 1 : 0 0 < / l a s t m o d i f i e d >  
     < d a t a b a s e > A C T I V E < / 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8EBF254BD0414286D5068CEFDAFC60" ma:contentTypeVersion="15" ma:contentTypeDescription="Create a new document." ma:contentTypeScope="" ma:versionID="23d4eee8e9a6d30e90c19fa87d1a8e27">
  <xsd:schema xmlns:xsd="http://www.w3.org/2001/XMLSchema" xmlns:xs="http://www.w3.org/2001/XMLSchema" xmlns:p="http://schemas.microsoft.com/office/2006/metadata/properties" xmlns:ns2="027d9236-fece-406a-849e-0c935d3cd2b8" xmlns:ns3="79535d02-3deb-43ad-8fd8-e014142a4a78" targetNamespace="http://schemas.microsoft.com/office/2006/metadata/properties" ma:root="true" ma:fieldsID="5c1c98e61b3e60860e08498047edd7f5" ns2:_="" ns3:_="">
    <xsd:import namespace="027d9236-fece-406a-849e-0c935d3cd2b8"/>
    <xsd:import namespace="79535d02-3deb-43ad-8fd8-e014142a4a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d9236-fece-406a-849e-0c935d3cd2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8fa4a50-6b65-4f84-845c-47b7ec08ea0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535d02-3deb-43ad-8fd8-e014142a4a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0da5d2e-d0fe-45d4-bf2d-2895ca9db56c}" ma:internalName="TaxCatchAll" ma:showField="CatchAllData" ma:web="79535d02-3deb-43ad-8fd8-e014142a4a7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D421B-5D20-458A-A9F7-A6B833D0FCA3}">
  <ds:schemaRefs>
    <ds:schemaRef ds:uri="http://schemas.openxmlformats.org/officeDocument/2006/bibliography"/>
  </ds:schemaRefs>
</ds:datastoreItem>
</file>

<file path=customXml/itemProps2.xml><?xml version="1.0" encoding="utf-8"?>
<ds:datastoreItem xmlns:ds="http://schemas.openxmlformats.org/officeDocument/2006/customXml" ds:itemID="{B5EA7924-9A6B-4D89-B2DA-B3ADEF420025}"/>
</file>

<file path=customXml/itemProps3.xml><?xml version="1.0" encoding="utf-8"?>
<ds:datastoreItem xmlns:ds="http://schemas.openxmlformats.org/officeDocument/2006/customXml" ds:itemID="{BE7289DE-4815-4EA5-8F1D-D9C93CD5A674}"/>
</file>

<file path=customXml/itemProps4.xml><?xml version="1.0" encoding="utf-8"?>
<ds:datastoreItem xmlns:ds="http://schemas.openxmlformats.org/officeDocument/2006/customXml" ds:itemID="{C1BBB72F-CFFD-47AA-9BBB-726A61D253A4}"/>
</file>

<file path=docProps/app.xml><?xml version="1.0" encoding="utf-8"?>
<Properties xmlns="http://schemas.openxmlformats.org/officeDocument/2006/extended-properties" xmlns:vt="http://schemas.openxmlformats.org/officeDocument/2006/docPropsVTypes">
  <Template>Normal</Template>
  <TotalTime>0</TotalTime>
  <Pages>6</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Adams - CY EPA</dc:creator>
  <cp:keywords/>
  <dc:description/>
  <cp:lastModifiedBy>David Adams - CY EPA</cp:lastModifiedBy>
  <cp:revision>5</cp:revision>
  <dcterms:created xsi:type="dcterms:W3CDTF">2024-08-08T11:53:00Z</dcterms:created>
  <dcterms:modified xsi:type="dcterms:W3CDTF">2024-08-12T14:01:00Z</dcterms:modified>
</cp:coreProperties>
</file>